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14:paraId="24EA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A2552AF">
            <w:pPr>
              <w:pStyle w:val="20"/>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 xml:space="preserve">ICS  </w:t>
            </w:r>
          </w:p>
        </w:tc>
        <w:tc>
          <w:tcPr>
            <w:tcW w:w="8855" w:type="dxa"/>
          </w:tcPr>
          <w:p w14:paraId="44E1C908">
            <w:pPr>
              <w:pStyle w:val="20"/>
              <w:framePr w:wrap="notBeside" w:vAnchor="page" w:hAnchor="page" w:x="1372" w:y="568"/>
              <w:tabs>
                <w:tab w:val="clear" w:pos="4153"/>
                <w:tab w:val="clear" w:pos="8306"/>
              </w:tabs>
              <w:spacing w:line="240" w:lineRule="auto"/>
              <w:ind w:left="3"/>
              <w:jc w:val="both"/>
              <w:rPr>
                <w:rFonts w:ascii="Times New Roman" w:hAnsi="Times New Roman" w:eastAsia="黑体"/>
                <w:sz w:val="21"/>
                <w:szCs w:val="21"/>
              </w:rPr>
            </w:pPr>
            <w:r>
              <w:rPr>
                <w:rFonts w:ascii="Times New Roman" w:hAnsi="Times New Roman" w:eastAsia="黑体"/>
                <w:sz w:val="21"/>
                <w:szCs w:val="21"/>
              </w:rPr>
              <w:fldChar w:fldCharType="begin">
                <w:ffData>
                  <w:name w:val="ICS"/>
                  <w:enabled/>
                  <w:calcOnExit w:val="0"/>
                  <w:textInput>
                    <w:default w:val="91.060.10"/>
                  </w:textInput>
                </w:ffData>
              </w:fldChar>
            </w:r>
            <w:bookmarkStart w:id="0" w:name="ICS"/>
            <w:r>
              <w:rPr>
                <w:rFonts w:ascii="Times New Roman" w:hAnsi="Times New Roman" w:eastAsia="黑体"/>
                <w:sz w:val="21"/>
                <w:szCs w:val="21"/>
              </w:rPr>
              <w:instrText xml:space="preserve"> FORMTEXT </w:instrText>
            </w:r>
            <w:r>
              <w:rPr>
                <w:rFonts w:ascii="Times New Roman" w:hAnsi="Times New Roman" w:eastAsia="黑体"/>
                <w:sz w:val="21"/>
                <w:szCs w:val="21"/>
              </w:rPr>
              <w:fldChar w:fldCharType="separate"/>
            </w:r>
            <w:r>
              <w:rPr>
                <w:rFonts w:ascii="Times New Roman" w:hAnsi="Times New Roman" w:eastAsia="黑体"/>
                <w:sz w:val="21"/>
                <w:szCs w:val="21"/>
              </w:rPr>
              <w:t>91.060.10</w:t>
            </w:r>
            <w:r>
              <w:rPr>
                <w:rFonts w:ascii="Times New Roman" w:hAnsi="Times New Roman" w:eastAsia="黑体"/>
                <w:sz w:val="21"/>
                <w:szCs w:val="21"/>
              </w:rPr>
              <w:fldChar w:fldCharType="end"/>
            </w:r>
            <w:bookmarkEnd w:id="0"/>
          </w:p>
        </w:tc>
      </w:tr>
      <w:tr w14:paraId="042AE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4E824D7">
            <w:pPr>
              <w:pStyle w:val="20"/>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ascii="Times New Roman" w:hAnsi="Times New Roman" w:eastAsia="黑体"/>
                <w:sz w:val="21"/>
                <w:szCs w:val="21"/>
              </w:rPr>
              <w:t xml:space="preserve">CCS  </w:t>
            </w:r>
          </w:p>
        </w:tc>
        <w:tc>
          <w:tcPr>
            <w:tcW w:w="8855" w:type="dxa"/>
          </w:tcPr>
          <w:p w14:paraId="18DA2785">
            <w:pPr>
              <w:pStyle w:val="20"/>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ascii="Times New Roman" w:hAnsi="Times New Roman" w:eastAsia="黑体"/>
                <w:sz w:val="21"/>
                <w:szCs w:val="21"/>
              </w:rPr>
              <w:fldChar w:fldCharType="begin">
                <w:ffData>
                  <w:name w:val="CSDN"/>
                  <w:enabled/>
                  <w:calcOnExit w:val="0"/>
                  <w:textInput>
                    <w:default w:val="点击此处添加CCS号"/>
                  </w:textInput>
                </w:ffData>
              </w:fldChar>
            </w:r>
            <w:bookmarkStart w:id="1" w:name="CSDN"/>
            <w:r>
              <w:rPr>
                <w:rFonts w:ascii="Times New Roman" w:hAnsi="Times New Roman" w:eastAsia="黑体"/>
                <w:sz w:val="21"/>
                <w:szCs w:val="21"/>
              </w:rPr>
              <w:instrText xml:space="preserve"> FORMTEXT </w:instrText>
            </w:r>
            <w:r>
              <w:rPr>
                <w:rFonts w:ascii="Times New Roman" w:hAnsi="Times New Roman" w:eastAsia="黑体"/>
                <w:sz w:val="21"/>
                <w:szCs w:val="21"/>
              </w:rPr>
              <w:fldChar w:fldCharType="separate"/>
            </w:r>
            <w:r>
              <w:rPr>
                <w:rFonts w:hint="eastAsia" w:ascii="Times New Roman" w:hAnsi="Times New Roman" w:eastAsia="黑体"/>
                <w:sz w:val="21"/>
                <w:szCs w:val="21"/>
              </w:rPr>
              <w:t>P 32</w:t>
            </w:r>
            <w:r>
              <w:rPr>
                <w:rFonts w:ascii="Times New Roman" w:hAnsi="Times New Roman" w:eastAsia="黑体"/>
                <w:sz w:val="21"/>
                <w:szCs w:val="21"/>
              </w:rPr>
              <w:t>    </w:t>
            </w:r>
            <w:r>
              <w:rPr>
                <w:rFonts w:ascii="Times New Roman" w:hAnsi="Times New Roman" w:eastAsia="黑体"/>
                <w:sz w:val="21"/>
                <w:szCs w:val="21"/>
              </w:rPr>
              <w:fldChar w:fldCharType="end"/>
            </w:r>
            <w:bookmarkEnd w:id="1"/>
          </w:p>
        </w:tc>
      </w:tr>
    </w:tbl>
    <w:p w14:paraId="7C74B195">
      <w:pPr>
        <w:pStyle w:val="54"/>
        <w:framePr w:w="9639" w:h="624" w:hRule="exact" w:hSpace="181" w:vSpace="181" w:wrap="around" w:hAnchor="page" w:x="1305" w:y="2269"/>
        <w:rPr>
          <w:rFonts w:ascii="Times New Roman"/>
        </w:rPr>
      </w:pPr>
      <w:bookmarkStart w:id="2" w:name="_Hlk26473981"/>
      <w:r>
        <w:rPr>
          <w:rFonts w:hint="eastAsia" w:ascii="Times New Roman"/>
        </w:rPr>
        <w:t>中华人民共和国国家标准</w:t>
      </w:r>
    </w:p>
    <w:bookmarkEnd w:id="2"/>
    <w:p w14:paraId="23CD9D96">
      <w:pPr>
        <w:pStyle w:val="199"/>
        <w:rPr>
          <w:rFonts w:ascii="Times New Roman"/>
        </w:rPr>
      </w:pPr>
      <w:r>
        <w:rPr>
          <w:rFonts w:ascii="Times New Roman"/>
        </w:rPr>
        <w:fldChar w:fldCharType="begin">
          <w:ffData>
            <w:name w:val="文字1"/>
            <w:enabled/>
            <w:calcOnExit w:val="0"/>
            <w:textInput>
              <w:default w:val="GB/T"/>
            </w:textInput>
          </w:ffData>
        </w:fldChar>
      </w:r>
      <w:bookmarkStart w:id="3" w:name="文字1"/>
      <w:r>
        <w:rPr>
          <w:rFonts w:ascii="Times New Roman"/>
        </w:rPr>
        <w:instrText xml:space="preserve"> FORMTEXT </w:instrText>
      </w:r>
      <w:r>
        <w:rPr>
          <w:rFonts w:ascii="Times New Roman"/>
        </w:rPr>
        <w:fldChar w:fldCharType="separate"/>
      </w:r>
      <w:r>
        <w:rPr>
          <w:rFonts w:ascii="Times New Roman"/>
        </w:rPr>
        <w:t>GB/T</w:t>
      </w:r>
      <w:r>
        <w:rPr>
          <w:rFonts w:ascii="Times New Roman"/>
        </w:rPr>
        <w:fldChar w:fldCharType="end"/>
      </w:r>
      <w:bookmarkEnd w:id="3"/>
      <w:r>
        <w:rPr>
          <w:rFonts w:ascii="Times New Roman"/>
        </w:rPr>
        <w:t xml:space="preserve"> </w:t>
      </w:r>
      <w:r>
        <w:rPr>
          <w:rFonts w:ascii="Times New Roman"/>
        </w:rPr>
        <w:fldChar w:fldCharType="begin">
          <w:ffData>
            <w:name w:val="NSTD_CODE_F"/>
            <w:enabled/>
            <w:calcOnExit w:val="0"/>
            <w:textInput>
              <w:default w:val="18091"/>
            </w:textInput>
          </w:ffData>
        </w:fldChar>
      </w:r>
      <w:bookmarkStart w:id="4" w:name="NSTD_CODE_F"/>
      <w:r>
        <w:rPr>
          <w:rFonts w:ascii="Times New Roman"/>
        </w:rPr>
        <w:instrText xml:space="preserve"> FORMTEXT </w:instrText>
      </w:r>
      <w:r>
        <w:rPr>
          <w:rFonts w:ascii="Times New Roman"/>
        </w:rPr>
        <w:fldChar w:fldCharType="separate"/>
      </w:r>
      <w:r>
        <w:rPr>
          <w:rFonts w:ascii="Times New Roman"/>
        </w:rPr>
        <w:t>18091</w:t>
      </w:r>
      <w:r>
        <w:rPr>
          <w:rFonts w:ascii="Times New Roman"/>
        </w:rPr>
        <w:fldChar w:fldCharType="end"/>
      </w:r>
      <w:bookmarkEnd w:id="4"/>
      <w:r>
        <w:rPr>
          <w:rFonts w:ascii="Times New Roman"/>
        </w:rPr>
        <w:t>—</w:t>
      </w:r>
      <w:bookmarkStart w:id="5" w:name="NSTD_CODE_B"/>
      <w:r>
        <w:rPr>
          <w:rFonts w:ascii="Times New Roman" w:hAnsi="Times New Roman" w:eastAsia="黑体" w:cs="Times New Roman"/>
          <w:bCs/>
          <w:sz w:val="28"/>
          <w:szCs w:val="28"/>
          <w:lang w:val="en-US" w:eastAsia="zh-CN" w:bidi="ar-SA"/>
        </w:rPr>
        <w:fldChar w:fldCharType="begin">
          <w:ffData>
            <w:name w:val="NSTD_CODE_B"/>
            <w:enabled/>
            <w:calcOnExit w:val="0"/>
            <w:textInput>
              <w:default w:val="202X"/>
            </w:textInput>
          </w:ffData>
        </w:fldChar>
      </w:r>
      <w:r>
        <w:rPr>
          <w:rFonts w:ascii="Times New Roman" w:hAnsi="Times New Roman" w:eastAsia="黑体" w:cs="Times New Roman"/>
          <w:bCs/>
          <w:sz w:val="28"/>
          <w:szCs w:val="28"/>
          <w:lang w:val="en-US" w:eastAsia="zh-CN" w:bidi="ar-SA"/>
        </w:rPr>
        <w:instrText xml:space="preserve">FORMTEXT</w:instrText>
      </w:r>
      <w:r>
        <w:rPr>
          <w:rFonts w:ascii="Times New Roman" w:hAnsi="Times New Roman" w:eastAsia="黑体" w:cs="Times New Roman"/>
          <w:bCs/>
          <w:sz w:val="28"/>
          <w:szCs w:val="28"/>
          <w:lang w:val="en-US" w:eastAsia="zh-CN" w:bidi="ar-SA"/>
        </w:rPr>
        <w:fldChar w:fldCharType="separate"/>
      </w:r>
      <w:r>
        <w:rPr>
          <w:rFonts w:ascii="Times New Roman" w:hAnsi="Times New Roman" w:eastAsia="黑体" w:cs="Times New Roman"/>
          <w:bCs/>
          <w:sz w:val="28"/>
          <w:szCs w:val="28"/>
          <w:lang w:val="en-US" w:eastAsia="zh-CN" w:bidi="ar-SA"/>
        </w:rPr>
        <w:t>202X</w:t>
      </w:r>
      <w:r>
        <w:rPr>
          <w:rFonts w:ascii="Times New Roman" w:hAnsi="Times New Roman" w:eastAsia="黑体" w:cs="Times New Roman"/>
          <w:bCs/>
          <w:sz w:val="28"/>
          <w:szCs w:val="28"/>
          <w:lang w:val="en-US" w:eastAsia="zh-CN" w:bidi="ar-SA"/>
        </w:rPr>
        <w:fldChar w:fldCharType="end"/>
      </w:r>
      <w:bookmarkEnd w:id="5"/>
    </w:p>
    <w:p w14:paraId="22235218">
      <w:pPr>
        <w:pStyle w:val="200"/>
        <w:rPr>
          <w:rFonts w:ascii="Times New Roman"/>
        </w:rPr>
      </w:pPr>
      <w:r>
        <w:rPr>
          <w:rFonts w:hint="eastAsia" w:ascii="Times New Roman"/>
          <w:lang w:val="en-US" w:eastAsia="zh-CN"/>
        </w:rPr>
        <w:t>代替</w:t>
      </w:r>
      <w:r>
        <w:rPr>
          <w:rFonts w:ascii="Times New Roman"/>
        </w:rPr>
        <w:fldChar w:fldCharType="begin">
          <w:ffData>
            <w:name w:val="OSTD_CODE"/>
            <w:enabled/>
            <w:calcOnExit w:val="0"/>
            <w:textInput>
              <w:default w:val="GB/T 18091-2015"/>
            </w:textInput>
          </w:ffData>
        </w:fldChar>
      </w:r>
      <w:bookmarkStart w:id="6" w:name="OSTD_CODE"/>
      <w:r>
        <w:rPr>
          <w:rFonts w:ascii="Times New Roman"/>
        </w:rPr>
        <w:instrText xml:space="preserve"> FORMTEXT </w:instrText>
      </w:r>
      <w:r>
        <w:rPr>
          <w:rFonts w:ascii="Times New Roman"/>
        </w:rPr>
        <w:fldChar w:fldCharType="separate"/>
      </w:r>
      <w:r>
        <w:rPr>
          <w:rFonts w:ascii="Times New Roman"/>
        </w:rPr>
        <w:t>GB/T 18091-2015</w:t>
      </w:r>
      <w:r>
        <w:rPr>
          <w:rFonts w:ascii="Times New Roman"/>
        </w:rPr>
        <w:fldChar w:fldCharType="end"/>
      </w:r>
      <w:bookmarkEnd w:id="6"/>
    </w:p>
    <w:p w14:paraId="40112AF3">
      <w:pPr>
        <w:spacing w:line="240" w:lineRule="auto"/>
        <w:ind w:left="8080"/>
        <w:rPr>
          <w:rFonts w:ascii="Times New Roman" w:hAnsi="Times New Roman" w:eastAsia="黑体"/>
          <w:kern w:val="0"/>
          <w:sz w:val="52"/>
          <w:szCs w:val="20"/>
        </w:rPr>
      </w:pPr>
      <w:r>
        <w:rPr>
          <w:rFonts w:ascii="Times New Roman" w:hAnsi="Times New Roman"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Times New Roman" w:hAnsi="Times New Roman" w:eastAsia="黑体"/>
          <w:kern w:val="0"/>
          <w:sz w:val="52"/>
          <w:szCs w:val="20"/>
        </w:rPr>
        <w:drawing>
          <wp:anchor distT="0" distB="0" distL="114300" distR="114300" simplePos="0" relativeHeight="251659264" behindDoc="0" locked="0" layoutInCell="1" allowOverlap="0">
            <wp:simplePos x="0" y="0"/>
            <wp:positionH relativeFrom="page">
              <wp:posOffset>5166360</wp:posOffset>
            </wp:positionH>
            <wp:positionV relativeFrom="page">
              <wp:posOffset>466725</wp:posOffset>
            </wp:positionV>
            <wp:extent cx="1447165" cy="734695"/>
            <wp:effectExtent l="0" t="0" r="635"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447200" cy="734400"/>
                    </a:xfrm>
                    <a:prstGeom prst="rect">
                      <a:avLst/>
                    </a:prstGeom>
                    <a:noFill/>
                    <a:ln>
                      <a:noFill/>
                    </a:ln>
                  </pic:spPr>
                </pic:pic>
              </a:graphicData>
            </a:graphic>
          </wp:anchor>
        </w:drawing>
      </w:r>
    </w:p>
    <w:p w14:paraId="6DA98A03">
      <w:pPr>
        <w:pStyle w:val="54"/>
        <w:framePr w:w="9639" w:h="6976" w:hRule="exact" w:hSpace="0" w:vSpace="0" w:wrap="around" w:hAnchor="page" w:y="6408"/>
        <w:jc w:val="center"/>
        <w:rPr>
          <w:rFonts w:ascii="Times New Roman" w:eastAsia="黑体"/>
          <w:b w:val="0"/>
          <w:bCs w:val="0"/>
          <w:w w:val="100"/>
        </w:rPr>
      </w:pPr>
    </w:p>
    <w:p w14:paraId="1C2077D9">
      <w:pPr>
        <w:pStyle w:val="201"/>
        <w:framePr w:h="6974" w:hRule="exact" w:wrap="around" w:x="1419" w:anchorLock="1"/>
        <w:rPr>
          <w:rFonts w:ascii="Times New Roman" w:hAnsi="Times New Roman"/>
        </w:rPr>
      </w:pPr>
      <w:bookmarkStart w:id="7" w:name="CSTD_NAME"/>
      <w:r>
        <w:rPr>
          <w:rFonts w:hint="eastAsia" w:ascii="Times New Roman" w:hAnsi="Times New Roman" w:eastAsia="黑体" w:cs="Times New Roman"/>
          <w:bCs/>
          <w:sz w:val="52"/>
          <w:lang w:val="en-US" w:eastAsia="zh-CN" w:bidi="ar-SA"/>
        </w:rPr>
        <w:fldChar w:fldCharType="begin">
          <w:ffData>
            <w:name w:val="CSTD_NAME"/>
            <w:enabled/>
            <w:calcOnExit w:val="0"/>
            <w:textInput>
              <w:default w:val="玻璃幕墙光热性能"/>
            </w:textInput>
          </w:ffData>
        </w:fldChar>
      </w:r>
      <w:r>
        <w:rPr>
          <w:rFonts w:hint="eastAsia" w:ascii="Times New Roman" w:hAnsi="Times New Roman" w:eastAsia="黑体" w:cs="Times New Roman"/>
          <w:bCs/>
          <w:sz w:val="52"/>
          <w:lang w:val="en-US" w:eastAsia="zh-CN" w:bidi="ar-SA"/>
        </w:rPr>
        <w:instrText xml:space="preserve">FORMTEXT</w:instrText>
      </w:r>
      <w:r>
        <w:rPr>
          <w:rFonts w:hint="eastAsia" w:ascii="Times New Roman" w:hAnsi="Times New Roman" w:eastAsia="黑体" w:cs="Times New Roman"/>
          <w:bCs/>
          <w:sz w:val="52"/>
          <w:lang w:val="en-US" w:eastAsia="zh-CN" w:bidi="ar-SA"/>
        </w:rPr>
        <w:fldChar w:fldCharType="separate"/>
      </w:r>
      <w:r>
        <w:rPr>
          <w:rFonts w:hint="eastAsia" w:ascii="Times New Roman" w:hAnsi="Times New Roman" w:eastAsia="黑体" w:cs="Times New Roman"/>
          <w:bCs/>
          <w:sz w:val="52"/>
          <w:lang w:val="en-US" w:eastAsia="zh-CN" w:bidi="ar-SA"/>
        </w:rPr>
        <w:t>玻璃幕墙光热性能</w:t>
      </w:r>
      <w:r>
        <w:rPr>
          <w:rFonts w:hint="eastAsia" w:ascii="Times New Roman" w:hAnsi="Times New Roman" w:eastAsia="黑体" w:cs="Times New Roman"/>
          <w:bCs/>
          <w:sz w:val="52"/>
          <w:lang w:val="en-US" w:eastAsia="zh-CN" w:bidi="ar-SA"/>
        </w:rPr>
        <w:fldChar w:fldCharType="end"/>
      </w:r>
      <w:bookmarkEnd w:id="7"/>
    </w:p>
    <w:p w14:paraId="24A282E5">
      <w:pPr>
        <w:framePr w:w="9639" w:h="6974" w:hRule="exact" w:wrap="around" w:vAnchor="page" w:hAnchor="page" w:x="1419" w:y="6408" w:anchorLock="1"/>
        <w:ind w:left="-1418"/>
        <w:rPr>
          <w:rFonts w:ascii="Times New Roman" w:hAnsi="Times New Roman"/>
        </w:rPr>
      </w:pPr>
    </w:p>
    <w:p w14:paraId="0984547A">
      <w:pPr>
        <w:pStyle w:val="129"/>
        <w:framePr w:w="9639" w:h="6974" w:hRule="exact" w:wrap="around" w:vAnchor="page" w:hAnchor="page" w:x="1419" w:y="6408" w:anchorLock="1"/>
        <w:textAlignment w:val="bottom"/>
        <w:rPr>
          <w:rFonts w:eastAsia="黑体"/>
          <w:szCs w:val="28"/>
        </w:rPr>
      </w:pPr>
      <w:bookmarkStart w:id="8"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Optical and thermal performance of glass curtain wall"/>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Optical and thermal performance of glass curtain wall</w:t>
      </w:r>
      <w:r>
        <w:rPr>
          <w:rFonts w:ascii="Times New Roman" w:hAnsi="Times New Roman" w:eastAsia="黑体" w:cs="Times New Roman"/>
          <w:sz w:val="28"/>
          <w:szCs w:val="28"/>
          <w:lang w:val="en-US" w:eastAsia="zh-CN" w:bidi="ar-SA"/>
        </w:rPr>
        <w:fldChar w:fldCharType="end"/>
      </w:r>
      <w:bookmarkEnd w:id="8"/>
    </w:p>
    <w:p w14:paraId="34A97229">
      <w:pPr>
        <w:framePr w:w="9639" w:h="6974" w:hRule="exact" w:wrap="around" w:vAnchor="page" w:hAnchor="page" w:x="1419" w:y="6408" w:anchorLock="1"/>
        <w:spacing w:line="760" w:lineRule="exact"/>
        <w:ind w:left="-1418"/>
        <w:rPr>
          <w:rFonts w:ascii="Times New Roman" w:hAnsi="Times New Roman"/>
        </w:rPr>
      </w:pPr>
    </w:p>
    <w:p w14:paraId="638D5E51">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bookmarkStart w:id="9"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9"/>
    </w:p>
    <w:p w14:paraId="416837F2">
      <w:pPr>
        <w:pStyle w:val="129"/>
        <w:framePr w:w="9639" w:h="6974" w:hRule="exact" w:wrap="around" w:vAnchor="page" w:hAnchor="page" w:x="1419" w:y="6408" w:anchorLock="1"/>
        <w:spacing w:before="440" w:after="160"/>
        <w:textAlignment w:val="bottom"/>
        <w:rPr>
          <w:sz w:val="24"/>
          <w:szCs w:val="28"/>
        </w:rPr>
      </w:pPr>
      <w:bookmarkStart w:id="10" w:name="下拉1"/>
      <w:r>
        <w:rPr>
          <w:rFonts w:hint="eastAsia" w:ascii="Times New Roman" w:hAnsi="Times New Roman" w:eastAsia="宋体" w:cs="Times New Roman"/>
          <w:sz w:val="24"/>
          <w:szCs w:val="28"/>
          <w:lang w:val="en-US" w:eastAsia="zh-CN" w:bidi="ar-SA"/>
        </w:rPr>
        <w:fldChar w:fldCharType="begin">
          <w:ffData>
            <w:name w:val="下拉1"/>
            <w:enabled/>
            <w:calcOnExit w:val="0"/>
            <w:ddList>
              <w:listEntry w:val="（修订征求意见稿）"/>
              <w:listEntry w:val="（送审稿）"/>
              <w:listEntry w:val="（工作组讨论稿）"/>
              <w:listEntry w:val="（送审讨论稿）"/>
              <w:listEntry w:val="（报批稿）"/>
            </w:ddList>
          </w:ffData>
        </w:fldChar>
      </w:r>
      <w:r>
        <w:rPr>
          <w:rFonts w:hint="eastAsia" w:ascii="Times New Roman" w:hAnsi="Times New Roman" w:eastAsia="宋体" w:cs="Times New Roman"/>
          <w:sz w:val="24"/>
          <w:szCs w:val="28"/>
          <w:lang w:val="en-US" w:eastAsia="zh-CN" w:bidi="ar-SA"/>
        </w:rPr>
        <w:instrText xml:space="preserve">FORMDROPDOWN</w:instrText>
      </w:r>
      <w:r>
        <w:rPr>
          <w:rFonts w:hint="eastAsia" w:ascii="Times New Roman" w:hAnsi="Times New Roman" w:eastAsia="宋体" w:cs="Times New Roman"/>
          <w:sz w:val="24"/>
          <w:szCs w:val="28"/>
          <w:lang w:val="en-US" w:eastAsia="zh-CN" w:bidi="ar-SA"/>
        </w:rPr>
        <w:fldChar w:fldCharType="separate"/>
      </w:r>
      <w:r>
        <w:rPr>
          <w:rFonts w:hint="eastAsia" w:ascii="Times New Roman" w:hAnsi="Times New Roman" w:eastAsia="宋体" w:cs="Times New Roman"/>
          <w:sz w:val="24"/>
          <w:szCs w:val="28"/>
          <w:lang w:val="en-US" w:eastAsia="zh-CN" w:bidi="ar-SA"/>
        </w:rPr>
        <w:fldChar w:fldCharType="end"/>
      </w:r>
      <w:bookmarkEnd w:id="10"/>
      <w:bookmarkStart w:id="186" w:name="_GoBack"/>
      <w:bookmarkEnd w:id="186"/>
    </w:p>
    <w:p w14:paraId="563715AE">
      <w:pPr>
        <w:pStyle w:val="129"/>
        <w:framePr w:w="9639" w:h="6974" w:hRule="exact" w:wrap="around" w:vAnchor="page" w:hAnchor="page" w:x="1419" w:y="6408" w:anchorLock="1"/>
        <w:spacing w:before="180" w:line="240" w:lineRule="atLeast"/>
        <w:textAlignment w:val="bottom"/>
        <w:rPr>
          <w:sz w:val="21"/>
          <w:szCs w:val="28"/>
        </w:rPr>
      </w:pPr>
      <w:bookmarkStart w:id="11" w:name="CMPLSH_DATE"/>
      <w:r>
        <w:rPr>
          <w:rFonts w:hint="eastAsia" w:ascii="Times New Roman" w:hAnsi="Times New Roman" w:eastAsia="宋体" w:cs="Times New Roman"/>
          <w:sz w:val="21"/>
          <w:szCs w:val="28"/>
          <w:lang w:val="en-US" w:eastAsia="zh-CN" w:bidi="ar-SA"/>
        </w:rPr>
        <w:fldChar w:fldCharType="begin">
          <w:ffData>
            <w:name w:val="CMPLSH_DATE"/>
            <w:enabled/>
            <w:calcOnExit w:val="0"/>
            <w:textInput/>
          </w:ffData>
        </w:fldChar>
      </w:r>
      <w:r>
        <w:rPr>
          <w:rFonts w:hint="eastAsia" w:ascii="Times New Roman" w:hAnsi="Times New Roman" w:eastAsia="宋体" w:cs="Times New Roman"/>
          <w:sz w:val="21"/>
          <w:szCs w:val="28"/>
          <w:lang w:val="en-US" w:eastAsia="zh-CN" w:bidi="ar-SA"/>
        </w:rPr>
        <w:instrText xml:space="preserve">FORMTEXT</w:instrText>
      </w:r>
      <w:r>
        <w:rPr>
          <w:rFonts w:hint="eastAsia" w:ascii="Times New Roman" w:hAnsi="Times New Roman" w:eastAsia="宋体" w:cs="Times New Roman"/>
          <w:sz w:val="21"/>
          <w:szCs w:val="28"/>
          <w:lang w:val="en-US" w:eastAsia="zh-CN" w:bidi="ar-SA"/>
        </w:rPr>
        <w:fldChar w:fldCharType="separate"/>
      </w:r>
      <w:r>
        <w:rPr>
          <w:rFonts w:hint="default" w:ascii="Times New Roman" w:hAnsi="Times New Roman" w:eastAsia="宋体" w:cs="Times New Roman"/>
          <w:sz w:val="21"/>
          <w:szCs w:val="28"/>
          <w:lang w:val="en-US" w:eastAsia="zh-CN" w:bidi="ar-SA"/>
        </w:rPr>
        <w:t>     </w:t>
      </w:r>
      <w:r>
        <w:rPr>
          <w:rFonts w:hint="eastAsia" w:ascii="Times New Roman" w:hAnsi="Times New Roman" w:eastAsia="宋体" w:cs="Times New Roman"/>
          <w:sz w:val="21"/>
          <w:szCs w:val="28"/>
          <w:lang w:val="en-US" w:eastAsia="zh-CN" w:bidi="ar-SA"/>
        </w:rPr>
        <w:fldChar w:fldCharType="end"/>
      </w:r>
      <w:bookmarkEnd w:id="11"/>
    </w:p>
    <w:p w14:paraId="1A479B17">
      <w:pPr>
        <w:pStyle w:val="129"/>
        <w:framePr w:w="9639" w:h="6974" w:hRule="exact" w:wrap="around" w:vAnchor="page" w:hAnchor="page" w:x="1419" w:y="6408" w:anchorLock="1"/>
        <w:spacing w:before="720" w:beforeLines="300" w:after="72" w:afterLines="30" w:line="240" w:lineRule="auto"/>
        <w:textAlignment w:val="bottom"/>
        <w:rPr>
          <w:b/>
          <w:sz w:val="21"/>
          <w:szCs w:val="28"/>
        </w:rPr>
      </w:pPr>
      <w:bookmarkStart w:id="12" w:name="下拉2"/>
      <w:r>
        <w:rPr>
          <w:rFonts w:hint="eastAsia" w:ascii="Times New Roman" w:hAnsi="Times New Roman" w:eastAsia="宋体" w:cs="Times New Roman"/>
          <w:b/>
          <w:sz w:val="21"/>
          <w:szCs w:val="28"/>
          <w:lang w:val="en-US" w:eastAsia="zh-CN" w:bidi="ar-SA"/>
        </w:rPr>
        <w:t>在提交反馈意见时，请将您知道的相关专利连同支持性文件一并附上。</w:t>
      </w:r>
      <w:r>
        <w:rPr>
          <w:rFonts w:ascii="Times New Roman" w:hAnsi="Times New Roman" w:eastAsia="宋体" w:cs="Times New Roman"/>
          <w:b/>
          <w:sz w:val="21"/>
          <w:szCs w:val="28"/>
          <w:lang w:val="en-US" w:eastAsia="zh-CN" w:bidi="ar-SA"/>
        </w:rPr>
        <w:fldChar w:fldCharType="begin">
          <w:ffData>
            <w:name w:val="下拉2"/>
            <w:enabled/>
            <w:calcOnExit w:val="0"/>
            <w:ddList>
              <w:listEntry w:val=" "/>
              <w:listEntry w:val="在提交反馈意见时，请将您知道的相关专利连同支持性文件一并附上。"/>
            </w:ddList>
          </w:ffData>
        </w:fldChar>
      </w:r>
      <w:r>
        <w:rPr>
          <w:rFonts w:ascii="Times New Roman" w:hAnsi="Times New Roman" w:eastAsia="宋体" w:cs="Times New Roman"/>
          <w:b/>
          <w:sz w:val="21"/>
          <w:szCs w:val="28"/>
          <w:lang w:val="en-US" w:eastAsia="zh-CN" w:bidi="ar-SA"/>
        </w:rPr>
        <w:instrText xml:space="preserve">FORMDROPDOWN</w:instrText>
      </w:r>
      <w:r>
        <w:rPr>
          <w:rFonts w:ascii="Times New Roman" w:hAnsi="Times New Roman" w:eastAsia="宋体" w:cs="Times New Roman"/>
          <w:b/>
          <w:sz w:val="21"/>
          <w:szCs w:val="28"/>
          <w:lang w:val="en-US" w:eastAsia="zh-CN" w:bidi="ar-SA"/>
        </w:rPr>
        <w:fldChar w:fldCharType="separate"/>
      </w:r>
      <w:r>
        <w:rPr>
          <w:rFonts w:ascii="Times New Roman" w:hAnsi="Times New Roman" w:eastAsia="宋体" w:cs="Times New Roman"/>
          <w:b/>
          <w:sz w:val="21"/>
          <w:szCs w:val="28"/>
          <w:lang w:val="en-US" w:eastAsia="zh-CN" w:bidi="ar-SA"/>
        </w:rPr>
        <w:fldChar w:fldCharType="end"/>
      </w:r>
      <w:bookmarkEnd w:id="12"/>
    </w:p>
    <w:p w14:paraId="481583E4">
      <w:pPr>
        <w:pStyle w:val="197"/>
        <w:framePr w:wrap="around" w:y="14176"/>
      </w:pPr>
      <w:bookmarkStart w:id="13" w:name="PLSH_DATE_Y"/>
      <w:r>
        <w:rPr>
          <w:rFonts w:ascii="Times New Roman" w:hAnsi="Times New Roman" w:eastAsia="黑体" w:cs="Times New Roman"/>
          <w:sz w:val="28"/>
          <w:lang w:val="en-US" w:eastAsia="zh-CN" w:bidi="ar-SA"/>
        </w:rPr>
        <w:fldChar w:fldCharType="begin">
          <w:ffData>
            <w:name w:val="PLSH_DATE_Y"/>
            <w:enabled/>
            <w:calcOnExit w:val="0"/>
            <w:textInput>
              <w:default w:val="202X"/>
              <w:maxLength w:val="4"/>
            </w:textInput>
          </w:ffData>
        </w:fldChar>
      </w:r>
      <w:r>
        <w:rPr>
          <w:rFonts w:ascii="Times New Roman" w:hAnsi="Times New Roman" w:eastAsia="黑体" w:cs="Times New Roman"/>
          <w:sz w:val="28"/>
          <w:lang w:val="en-US" w:eastAsia="zh-CN" w:bidi="ar-SA"/>
        </w:rPr>
        <w:instrText xml:space="preserve">FORMTEXT</w:instrText>
      </w:r>
      <w:r>
        <w:rPr>
          <w:rFonts w:ascii="Times New Roman" w:hAnsi="Times New Roman" w:eastAsia="黑体" w:cs="Times New Roman"/>
          <w:sz w:val="28"/>
          <w:lang w:val="en-US" w:eastAsia="zh-CN" w:bidi="ar-SA"/>
        </w:rPr>
        <w:fldChar w:fldCharType="separate"/>
      </w:r>
      <w:r>
        <w:rPr>
          <w:rFonts w:ascii="Times New Roman" w:hAnsi="Times New Roman" w:eastAsia="黑体" w:cs="Times New Roman"/>
          <w:sz w:val="28"/>
          <w:lang w:val="en-US" w:eastAsia="zh-CN" w:bidi="ar-SA"/>
        </w:rPr>
        <w:t>202X</w:t>
      </w:r>
      <w:r>
        <w:rPr>
          <w:rFonts w:ascii="Times New Roman" w:hAnsi="Times New Roman" w:eastAsia="黑体" w:cs="Times New Roman"/>
          <w:sz w:val="28"/>
          <w:lang w:val="en-US" w:eastAsia="zh-CN" w:bidi="ar-SA"/>
        </w:rPr>
        <w:fldChar w:fldCharType="end"/>
      </w:r>
      <w:bookmarkEnd w:id="13"/>
      <w:r>
        <w:t xml:space="preserve"> - </w:t>
      </w:r>
      <w:r>
        <w:fldChar w:fldCharType="begin">
          <w:ffData>
            <w:name w:val="PLSH_DATE_M"/>
            <w:enabled/>
            <w:calcOnExit w:val="0"/>
            <w:textInput>
              <w:default w:val="XX"/>
              <w:maxLength w:val="2"/>
            </w:textInput>
          </w:ffData>
        </w:fldChar>
      </w:r>
      <w:bookmarkStart w:id="14" w:name="PLSH_DATE_M"/>
      <w:r>
        <w:instrText xml:space="preserve"> FORMTEXT </w:instrText>
      </w:r>
      <w:r>
        <w:fldChar w:fldCharType="separate"/>
      </w:r>
      <w:r>
        <w:t>XX</w:t>
      </w:r>
      <w:r>
        <w:fldChar w:fldCharType="end"/>
      </w:r>
      <w:bookmarkEnd w:id="14"/>
      <w:r>
        <w:t xml:space="preserve"> - </w:t>
      </w:r>
      <w:r>
        <w:fldChar w:fldCharType="begin">
          <w:ffData>
            <w:name w:val="PLSH_DATE_D"/>
            <w:enabled/>
            <w:calcOnExit w:val="0"/>
            <w:textInput>
              <w:default w:val="XX"/>
              <w:maxLength w:val="2"/>
            </w:textInput>
          </w:ffData>
        </w:fldChar>
      </w:r>
      <w:bookmarkStart w:id="15" w:name="PLSH_DATE_D"/>
      <w:r>
        <w:instrText xml:space="preserve"> FORMTEXT </w:instrText>
      </w:r>
      <w:r>
        <w:fldChar w:fldCharType="separate"/>
      </w:r>
      <w:r>
        <w:t>XX</w:t>
      </w:r>
      <w:r>
        <w:fldChar w:fldCharType="end"/>
      </w:r>
      <w:bookmarkEnd w:id="15"/>
      <w:r>
        <w:rPr>
          <w:rFonts w:hint="eastAsia"/>
        </w:rPr>
        <w:t>发布</w:t>
      </w:r>
    </w:p>
    <w:p w14:paraId="7C71A70E">
      <w:pPr>
        <w:pStyle w:val="198"/>
        <w:framePr w:wrap="around" w:y="14176"/>
      </w:pPr>
      <w:bookmarkStart w:id="16" w:name="CROT_DATE_Y"/>
      <w:r>
        <w:rPr>
          <w:rFonts w:ascii="Times New Roman" w:hAnsi="Times New Roman" w:eastAsia="黑体" w:cs="Times New Roman"/>
          <w:sz w:val="28"/>
          <w:lang w:val="en-US" w:eastAsia="zh-CN" w:bidi="ar-SA"/>
        </w:rPr>
        <w:fldChar w:fldCharType="begin">
          <w:ffData>
            <w:name w:val="CROT_DATE_Y"/>
            <w:enabled/>
            <w:calcOnExit w:val="0"/>
            <w:textInput>
              <w:default w:val="202X"/>
              <w:maxLength w:val="4"/>
            </w:textInput>
          </w:ffData>
        </w:fldChar>
      </w:r>
      <w:r>
        <w:rPr>
          <w:rFonts w:ascii="Times New Roman" w:hAnsi="Times New Roman" w:eastAsia="黑体" w:cs="Times New Roman"/>
          <w:sz w:val="28"/>
          <w:lang w:val="en-US" w:eastAsia="zh-CN" w:bidi="ar-SA"/>
        </w:rPr>
        <w:instrText xml:space="preserve">FORMTEXT</w:instrText>
      </w:r>
      <w:r>
        <w:rPr>
          <w:rFonts w:ascii="Times New Roman" w:hAnsi="Times New Roman" w:eastAsia="黑体" w:cs="Times New Roman"/>
          <w:sz w:val="28"/>
          <w:lang w:val="en-US" w:eastAsia="zh-CN" w:bidi="ar-SA"/>
        </w:rPr>
        <w:fldChar w:fldCharType="separate"/>
      </w:r>
      <w:r>
        <w:rPr>
          <w:rFonts w:ascii="Times New Roman" w:hAnsi="Times New Roman" w:eastAsia="黑体" w:cs="Times New Roman"/>
          <w:sz w:val="28"/>
          <w:lang w:val="en-US" w:eastAsia="zh-CN" w:bidi="ar-SA"/>
        </w:rPr>
        <w:t>202X</w:t>
      </w:r>
      <w:r>
        <w:rPr>
          <w:rFonts w:ascii="Times New Roman" w:hAnsi="Times New Roman" w:eastAsia="黑体" w:cs="Times New Roman"/>
          <w:sz w:val="28"/>
          <w:lang w:val="en-US" w:eastAsia="zh-CN" w:bidi="ar-SA"/>
        </w:rPr>
        <w:fldChar w:fldCharType="end"/>
      </w:r>
      <w:bookmarkEnd w:id="16"/>
      <w:r>
        <w:t xml:space="preserve"> - </w:t>
      </w:r>
      <w:r>
        <w:fldChar w:fldCharType="begin">
          <w:ffData>
            <w:name w:val="CROT_DATE_M"/>
            <w:enabled/>
            <w:calcOnExit w:val="0"/>
            <w:textInput>
              <w:default w:val="XX"/>
              <w:maxLength w:val="2"/>
            </w:textInput>
          </w:ffData>
        </w:fldChar>
      </w:r>
      <w:bookmarkStart w:id="17" w:name="CROT_DATE_M"/>
      <w:r>
        <w:instrText xml:space="preserve"> FORMTEXT </w:instrText>
      </w:r>
      <w:r>
        <w:fldChar w:fldCharType="separate"/>
      </w:r>
      <w:r>
        <w:t>XX</w:t>
      </w:r>
      <w:r>
        <w:fldChar w:fldCharType="end"/>
      </w:r>
      <w:bookmarkEnd w:id="17"/>
      <w:r>
        <w:t xml:space="preserve"> - </w:t>
      </w:r>
      <w:r>
        <w:fldChar w:fldCharType="begin">
          <w:ffData>
            <w:name w:val="CROT_DATE_D"/>
            <w:enabled/>
            <w:calcOnExit w:val="0"/>
            <w:textInput>
              <w:default w:val="XX"/>
              <w:maxLength w:val="2"/>
            </w:textInput>
          </w:ffData>
        </w:fldChar>
      </w:r>
      <w:bookmarkStart w:id="18" w:name="CROT_DATE_D"/>
      <w:r>
        <w:instrText xml:space="preserve"> FORMTEXT </w:instrText>
      </w:r>
      <w:r>
        <w:fldChar w:fldCharType="separate"/>
      </w:r>
      <w:r>
        <w:t>XX</w:t>
      </w:r>
      <w:r>
        <w:fldChar w:fldCharType="end"/>
      </w:r>
      <w:bookmarkEnd w:id="18"/>
      <w:r>
        <w:rPr>
          <w:rFonts w:hint="eastAsia"/>
        </w:rPr>
        <w:t>实施</w:t>
      </w:r>
    </w:p>
    <w:p w14:paraId="5751B3C9">
      <w:pPr>
        <w:rPr>
          <w:rFonts w:ascii="Times New Roman" w:hAnsi="Times New Roman"/>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pgBorders>
            <w:top w:val="none" w:sz="0" w:space="0"/>
            <w:left w:val="none" w:sz="0" w:space="0"/>
            <w:bottom w:val="none" w:sz="0" w:space="0"/>
            <w:right w:val="none" w:sz="0" w:space="0"/>
          </w:pgBorders>
          <w:cols w:space="425" w:num="1"/>
          <w:titlePg/>
          <w:docGrid w:linePitch="312" w:charSpace="0"/>
        </w:sectPr>
      </w:pPr>
      <w:r>
        <w:rPr>
          <w:rFonts w:hint="eastAsia" w:ascii="Times New Roman" w:hAnsi="Times New Roman"/>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8245475</wp:posOffset>
            </wp:positionV>
            <wp:extent cx="2869565" cy="546100"/>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69324" cy="545919"/>
                    </a:xfrm>
                    <a:prstGeom prst="rect">
                      <a:avLst/>
                    </a:prstGeom>
                  </pic:spPr>
                </pic:pic>
              </a:graphicData>
            </a:graphic>
          </wp:anchor>
        </w:drawing>
      </w:r>
      <w:r>
        <w:rPr>
          <w:rFonts w:hint="eastAsia" w:ascii="Times New Roman" w:hAnsi="Times New Roman"/>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058E4AA">
      <w:pPr>
        <w:pStyle w:val="95"/>
        <w:spacing w:after="468"/>
        <w:rPr>
          <w:rFonts w:ascii="Times New Roman" w:hAnsi="Times New Roman"/>
        </w:rPr>
      </w:pPr>
      <w:bookmarkStart w:id="19" w:name="BookMark1"/>
      <w:bookmarkStart w:id="20" w:name="_Toc61428350"/>
      <w:r>
        <w:rPr>
          <w:rFonts w:hint="eastAsia" w:ascii="Times New Roman" w:hAnsi="Times New Roman"/>
        </w:rPr>
        <w:t>目次</w:t>
      </w:r>
    </w:p>
    <w:p w14:paraId="5ADD3F27">
      <w:pPr>
        <w:pStyle w:val="21"/>
        <w:tabs>
          <w:tab w:val="right" w:leader="dot" w:pos="9354"/>
        </w:tabs>
      </w:pPr>
      <w:r>
        <w:rPr>
          <w:rFonts w:ascii="Times New Roman" w:hAnsi="Times New Roman"/>
        </w:rPr>
        <w:fldChar w:fldCharType="begin"/>
      </w:r>
      <w:r>
        <w:rPr>
          <w:rFonts w:ascii="Times New Roman" w:hAnsi="Times New Roman"/>
        </w:rPr>
        <w:instrText xml:space="preserve"> TOC \o "1-1" \h \t "标准文件_一级条标题,2,标准文件_附录一级条标题,2,"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HYPERLINK \l _Toc10296 </w:instrText>
      </w:r>
      <w:r>
        <w:rPr>
          <w:rFonts w:ascii="Times New Roman" w:hAnsi="Times New Roman"/>
        </w:rPr>
        <w:fldChar w:fldCharType="separate"/>
      </w:r>
      <w:r>
        <w:rPr>
          <w:rFonts w:ascii="Times New Roman"/>
          <w:spacing w:val="320"/>
        </w:rPr>
        <w:t>前</w:t>
      </w:r>
      <w:r>
        <w:rPr>
          <w:rFonts w:ascii="Times New Roman"/>
        </w:rPr>
        <w:t>言</w:t>
      </w:r>
      <w:r>
        <w:tab/>
      </w:r>
      <w:r>
        <w:fldChar w:fldCharType="begin"/>
      </w:r>
      <w:r>
        <w:instrText xml:space="preserve"> PAGEREF _Toc10296 \h </w:instrText>
      </w:r>
      <w:r>
        <w:fldChar w:fldCharType="separate"/>
      </w:r>
      <w:r>
        <w:t>II</w:t>
      </w:r>
      <w:r>
        <w:fldChar w:fldCharType="end"/>
      </w:r>
      <w:r>
        <w:rPr>
          <w:rFonts w:ascii="Times New Roman" w:hAnsi="Times New Roman"/>
        </w:rPr>
        <w:fldChar w:fldCharType="end"/>
      </w:r>
    </w:p>
    <w:p w14:paraId="47B6B037">
      <w:pPr>
        <w:pStyle w:val="21"/>
        <w:tabs>
          <w:tab w:val="right" w:leader="dot" w:pos="9354"/>
        </w:tabs>
      </w:pPr>
      <w:r>
        <w:rPr>
          <w:rFonts w:ascii="Times New Roman" w:hAnsi="Times New Roman"/>
        </w:rPr>
        <w:fldChar w:fldCharType="begin"/>
      </w:r>
      <w:r>
        <w:rPr>
          <w:rFonts w:ascii="Times New Roman" w:hAnsi="Times New Roman"/>
        </w:rPr>
        <w:instrText xml:space="preserve"> HYPERLINK \l _Toc18883 </w:instrText>
      </w:r>
      <w:r>
        <w:rPr>
          <w:rFonts w:ascii="Times New Roman" w:hAnsi="Times New Roman"/>
        </w:rPr>
        <w:fldChar w:fldCharType="separate"/>
      </w:r>
      <w:r>
        <w:rPr>
          <w:rFonts w:hint="eastAsia" w:ascii="黑体" w:eastAsia="黑体"/>
          <w:i w:val="0"/>
        </w:rPr>
        <w:t xml:space="preserve">1 </w:t>
      </w:r>
      <w:r>
        <w:rPr>
          <w:rFonts w:hint="eastAsia" w:ascii="Times New Roman"/>
        </w:rPr>
        <w:t>范围</w:t>
      </w:r>
      <w:r>
        <w:tab/>
      </w:r>
      <w:r>
        <w:fldChar w:fldCharType="begin"/>
      </w:r>
      <w:r>
        <w:instrText xml:space="preserve"> PAGEREF _Toc18883 \h </w:instrText>
      </w:r>
      <w:r>
        <w:fldChar w:fldCharType="separate"/>
      </w:r>
      <w:r>
        <w:t>1</w:t>
      </w:r>
      <w:r>
        <w:fldChar w:fldCharType="end"/>
      </w:r>
      <w:r>
        <w:rPr>
          <w:rFonts w:ascii="Times New Roman" w:hAnsi="Times New Roman"/>
        </w:rPr>
        <w:fldChar w:fldCharType="end"/>
      </w:r>
    </w:p>
    <w:p w14:paraId="2C7434AA">
      <w:pPr>
        <w:pStyle w:val="21"/>
        <w:tabs>
          <w:tab w:val="right" w:leader="dot" w:pos="9354"/>
        </w:tabs>
      </w:pPr>
      <w:r>
        <w:rPr>
          <w:rFonts w:ascii="Times New Roman" w:hAnsi="Times New Roman"/>
        </w:rPr>
        <w:fldChar w:fldCharType="begin"/>
      </w:r>
      <w:r>
        <w:rPr>
          <w:rFonts w:ascii="Times New Roman" w:hAnsi="Times New Roman"/>
        </w:rPr>
        <w:instrText xml:space="preserve"> HYPERLINK \l _Toc4749 </w:instrText>
      </w:r>
      <w:r>
        <w:rPr>
          <w:rFonts w:ascii="Times New Roman" w:hAnsi="Times New Roman"/>
        </w:rPr>
        <w:fldChar w:fldCharType="separate"/>
      </w:r>
      <w:r>
        <w:rPr>
          <w:rFonts w:hint="eastAsia" w:ascii="黑体" w:eastAsia="黑体"/>
          <w:i w:val="0"/>
        </w:rPr>
        <w:t xml:space="preserve">2 </w:t>
      </w:r>
      <w:r>
        <w:rPr>
          <w:rFonts w:hint="eastAsia" w:ascii="Times New Roman"/>
        </w:rPr>
        <w:t>规范性引用文件</w:t>
      </w:r>
      <w:r>
        <w:tab/>
      </w:r>
      <w:r>
        <w:fldChar w:fldCharType="begin"/>
      </w:r>
      <w:r>
        <w:instrText xml:space="preserve"> PAGEREF _Toc4749 \h </w:instrText>
      </w:r>
      <w:r>
        <w:fldChar w:fldCharType="separate"/>
      </w:r>
      <w:r>
        <w:t>1</w:t>
      </w:r>
      <w:r>
        <w:fldChar w:fldCharType="end"/>
      </w:r>
      <w:r>
        <w:rPr>
          <w:rFonts w:ascii="Times New Roman" w:hAnsi="Times New Roman"/>
        </w:rPr>
        <w:fldChar w:fldCharType="end"/>
      </w:r>
    </w:p>
    <w:p w14:paraId="39436166">
      <w:pPr>
        <w:pStyle w:val="21"/>
        <w:tabs>
          <w:tab w:val="right" w:leader="dot" w:pos="9354"/>
        </w:tabs>
      </w:pPr>
      <w:r>
        <w:rPr>
          <w:rFonts w:ascii="Times New Roman" w:hAnsi="Times New Roman"/>
        </w:rPr>
        <w:fldChar w:fldCharType="begin"/>
      </w:r>
      <w:r>
        <w:rPr>
          <w:rFonts w:ascii="Times New Roman" w:hAnsi="Times New Roman"/>
        </w:rPr>
        <w:instrText xml:space="preserve"> HYPERLINK \l _Toc31201 </w:instrText>
      </w:r>
      <w:r>
        <w:rPr>
          <w:rFonts w:ascii="Times New Roman" w:hAnsi="Times New Roman"/>
        </w:rPr>
        <w:fldChar w:fldCharType="separate"/>
      </w:r>
      <w:r>
        <w:rPr>
          <w:rFonts w:hint="eastAsia" w:ascii="黑体" w:eastAsia="黑体"/>
          <w:i w:val="0"/>
        </w:rPr>
        <w:t xml:space="preserve">3 </w:t>
      </w:r>
      <w:r>
        <w:rPr>
          <w:rFonts w:hint="eastAsia" w:ascii="Times New Roman"/>
          <w:szCs w:val="21"/>
        </w:rPr>
        <w:t>术语和定义</w:t>
      </w:r>
      <w:r>
        <w:tab/>
      </w:r>
      <w:r>
        <w:fldChar w:fldCharType="begin"/>
      </w:r>
      <w:r>
        <w:instrText xml:space="preserve"> PAGEREF _Toc31201 \h </w:instrText>
      </w:r>
      <w:r>
        <w:fldChar w:fldCharType="separate"/>
      </w:r>
      <w:r>
        <w:t>1</w:t>
      </w:r>
      <w:r>
        <w:fldChar w:fldCharType="end"/>
      </w:r>
      <w:r>
        <w:rPr>
          <w:rFonts w:ascii="Times New Roman" w:hAnsi="Times New Roman"/>
        </w:rPr>
        <w:fldChar w:fldCharType="end"/>
      </w:r>
    </w:p>
    <w:p w14:paraId="2165FB5D">
      <w:pPr>
        <w:pStyle w:val="21"/>
        <w:tabs>
          <w:tab w:val="right" w:leader="dot" w:pos="9354"/>
        </w:tabs>
      </w:pPr>
      <w:r>
        <w:rPr>
          <w:rFonts w:ascii="Times New Roman" w:hAnsi="Times New Roman"/>
        </w:rPr>
        <w:fldChar w:fldCharType="begin"/>
      </w:r>
      <w:r>
        <w:rPr>
          <w:rFonts w:ascii="Times New Roman" w:hAnsi="Times New Roman"/>
        </w:rPr>
        <w:instrText xml:space="preserve"> HYPERLINK \l _Toc24829 </w:instrText>
      </w:r>
      <w:r>
        <w:rPr>
          <w:rFonts w:ascii="Times New Roman" w:hAnsi="Times New Roman"/>
        </w:rPr>
        <w:fldChar w:fldCharType="separate"/>
      </w:r>
      <w:r>
        <w:rPr>
          <w:rFonts w:hint="eastAsia" w:ascii="黑体" w:eastAsia="黑体"/>
          <w:i w:val="0"/>
        </w:rPr>
        <w:t xml:space="preserve">4 </w:t>
      </w:r>
      <w:r>
        <w:rPr>
          <w:rFonts w:hint="eastAsia" w:ascii="Times New Roman"/>
        </w:rPr>
        <w:t>一般</w:t>
      </w:r>
      <w:r>
        <w:rPr>
          <w:rFonts w:hint="eastAsia" w:ascii="Times New Roman"/>
          <w:lang w:val="en-US" w:eastAsia="zh-CN"/>
        </w:rPr>
        <w:t>规定</w:t>
      </w:r>
      <w:r>
        <w:tab/>
      </w:r>
      <w:r>
        <w:fldChar w:fldCharType="begin"/>
      </w:r>
      <w:r>
        <w:instrText xml:space="preserve"> PAGEREF _Toc24829 \h </w:instrText>
      </w:r>
      <w:r>
        <w:fldChar w:fldCharType="separate"/>
      </w:r>
      <w:r>
        <w:t>3</w:t>
      </w:r>
      <w:r>
        <w:fldChar w:fldCharType="end"/>
      </w:r>
      <w:r>
        <w:rPr>
          <w:rFonts w:ascii="Times New Roman" w:hAnsi="Times New Roman"/>
        </w:rPr>
        <w:fldChar w:fldCharType="end"/>
      </w:r>
    </w:p>
    <w:p w14:paraId="3A280DF4">
      <w:pPr>
        <w:pStyle w:val="21"/>
        <w:tabs>
          <w:tab w:val="right" w:leader="dot" w:pos="9354"/>
        </w:tabs>
      </w:pPr>
      <w:r>
        <w:rPr>
          <w:rFonts w:ascii="Times New Roman" w:hAnsi="Times New Roman"/>
        </w:rPr>
        <w:fldChar w:fldCharType="begin"/>
      </w:r>
      <w:r>
        <w:rPr>
          <w:rFonts w:ascii="Times New Roman" w:hAnsi="Times New Roman"/>
        </w:rPr>
        <w:instrText xml:space="preserve"> HYPERLINK \l _Toc23399 </w:instrText>
      </w:r>
      <w:r>
        <w:rPr>
          <w:rFonts w:ascii="Times New Roman" w:hAnsi="Times New Roman"/>
        </w:rPr>
        <w:fldChar w:fldCharType="separate"/>
      </w:r>
      <w:r>
        <w:rPr>
          <w:rFonts w:hint="eastAsia" w:ascii="黑体" w:eastAsia="黑体"/>
          <w:i w:val="0"/>
        </w:rPr>
        <w:t xml:space="preserve">5 </w:t>
      </w:r>
      <w:r>
        <w:rPr>
          <w:rFonts w:hint="eastAsia" w:ascii="Times New Roman" w:eastAsia="宋体"/>
          <w:lang w:val="en-US" w:eastAsia="zh-CN"/>
        </w:rPr>
        <w:t>性能</w:t>
      </w:r>
      <w:r>
        <w:rPr>
          <w:rFonts w:hint="eastAsia" w:ascii="Times New Roman"/>
          <w:lang w:val="en-US" w:eastAsia="zh-CN"/>
        </w:rPr>
        <w:t>要求</w:t>
      </w:r>
      <w:r>
        <w:tab/>
      </w:r>
      <w:r>
        <w:fldChar w:fldCharType="begin"/>
      </w:r>
      <w:r>
        <w:instrText xml:space="preserve"> PAGEREF _Toc23399 \h </w:instrText>
      </w:r>
      <w:r>
        <w:fldChar w:fldCharType="separate"/>
      </w:r>
      <w:r>
        <w:t>5</w:t>
      </w:r>
      <w:r>
        <w:fldChar w:fldCharType="end"/>
      </w:r>
      <w:r>
        <w:rPr>
          <w:rFonts w:ascii="Times New Roman" w:hAnsi="Times New Roman"/>
        </w:rPr>
        <w:fldChar w:fldCharType="end"/>
      </w:r>
    </w:p>
    <w:p w14:paraId="3A330E1E">
      <w:pPr>
        <w:pStyle w:val="21"/>
        <w:tabs>
          <w:tab w:val="right" w:leader="dot" w:pos="9354"/>
        </w:tabs>
      </w:pPr>
      <w:r>
        <w:rPr>
          <w:rFonts w:ascii="Times New Roman" w:hAnsi="Times New Roman"/>
        </w:rPr>
        <w:fldChar w:fldCharType="begin"/>
      </w:r>
      <w:r>
        <w:rPr>
          <w:rFonts w:ascii="Times New Roman" w:hAnsi="Times New Roman"/>
        </w:rPr>
        <w:instrText xml:space="preserve"> HYPERLINK \l _Toc8985 </w:instrText>
      </w:r>
      <w:r>
        <w:rPr>
          <w:rFonts w:ascii="Times New Roman" w:hAnsi="Times New Roman"/>
        </w:rPr>
        <w:fldChar w:fldCharType="separate"/>
      </w:r>
      <w:r>
        <w:rPr>
          <w:rFonts w:hint="eastAsia" w:ascii="黑体" w:eastAsia="黑体"/>
          <w:i w:val="0"/>
        </w:rPr>
        <w:t xml:space="preserve">6 </w:t>
      </w:r>
      <w:r>
        <w:rPr>
          <w:rFonts w:hint="eastAsia" w:ascii="Times New Roman"/>
        </w:rPr>
        <w:t>检验</w:t>
      </w:r>
      <w:r>
        <w:tab/>
      </w:r>
      <w:r>
        <w:fldChar w:fldCharType="begin"/>
      </w:r>
      <w:r>
        <w:instrText xml:space="preserve"> PAGEREF _Toc8985 \h </w:instrText>
      </w:r>
      <w:r>
        <w:fldChar w:fldCharType="separate"/>
      </w:r>
      <w:r>
        <w:t>5</w:t>
      </w:r>
      <w:r>
        <w:fldChar w:fldCharType="end"/>
      </w:r>
      <w:r>
        <w:rPr>
          <w:rFonts w:ascii="Times New Roman" w:hAnsi="Times New Roman"/>
        </w:rPr>
        <w:fldChar w:fldCharType="end"/>
      </w:r>
    </w:p>
    <w:p w14:paraId="01F17E2D">
      <w:pPr>
        <w:pStyle w:val="21"/>
        <w:tabs>
          <w:tab w:val="right" w:leader="dot" w:pos="9354"/>
        </w:tabs>
      </w:pPr>
      <w:r>
        <w:rPr>
          <w:rFonts w:ascii="Times New Roman" w:hAnsi="Times New Roman"/>
        </w:rPr>
        <w:fldChar w:fldCharType="begin"/>
      </w:r>
      <w:r>
        <w:rPr>
          <w:rFonts w:ascii="Times New Roman" w:hAnsi="Times New Roman"/>
        </w:rPr>
        <w:instrText xml:space="preserve"> HYPERLINK \l _Toc19841 </w:instrText>
      </w:r>
      <w:r>
        <w:rPr>
          <w:rFonts w:ascii="Times New Roman" w:hAnsi="Times New Roman"/>
        </w:rPr>
        <w:fldChar w:fldCharType="separate"/>
      </w:r>
      <w:r>
        <w:rPr>
          <w:rFonts w:hint="eastAsia" w:ascii="黑体" w:eastAsia="黑体"/>
          <w:i w:val="0"/>
        </w:rPr>
        <w:t xml:space="preserve">7 </w:t>
      </w:r>
      <w:r>
        <w:rPr>
          <w:rFonts w:hint="eastAsia" w:ascii="Times New Roman"/>
        </w:rPr>
        <w:t>反射光</w:t>
      </w:r>
      <w:r>
        <w:rPr>
          <w:rFonts w:hint="eastAsia" w:ascii="Times New Roman"/>
          <w:lang w:val="en-US" w:eastAsia="zh-CN"/>
        </w:rPr>
        <w:t>评价</w:t>
      </w:r>
      <w:r>
        <w:tab/>
      </w:r>
      <w:r>
        <w:fldChar w:fldCharType="begin"/>
      </w:r>
      <w:r>
        <w:instrText xml:space="preserve"> PAGEREF _Toc19841 \h </w:instrText>
      </w:r>
      <w:r>
        <w:fldChar w:fldCharType="separate"/>
      </w:r>
      <w:r>
        <w:t>6</w:t>
      </w:r>
      <w:r>
        <w:fldChar w:fldCharType="end"/>
      </w:r>
      <w:r>
        <w:rPr>
          <w:rFonts w:ascii="Times New Roman" w:hAnsi="Times New Roman"/>
        </w:rPr>
        <w:fldChar w:fldCharType="end"/>
      </w:r>
    </w:p>
    <w:p w14:paraId="3C7F257F">
      <w:pPr>
        <w:pStyle w:val="21"/>
        <w:tabs>
          <w:tab w:val="right" w:leader="dot" w:pos="9354"/>
        </w:tabs>
      </w:pPr>
      <w:r>
        <w:rPr>
          <w:rFonts w:ascii="Times New Roman" w:hAnsi="Times New Roman"/>
        </w:rPr>
        <w:fldChar w:fldCharType="begin"/>
      </w:r>
      <w:r>
        <w:rPr>
          <w:rFonts w:ascii="Times New Roman" w:hAnsi="Times New Roman"/>
        </w:rPr>
        <w:instrText xml:space="preserve"> HYPERLINK \l _Toc1284 </w:instrText>
      </w:r>
      <w:r>
        <w:rPr>
          <w:rFonts w:ascii="Times New Roman" w:hAnsi="Times New Roman"/>
        </w:rPr>
        <w:fldChar w:fldCharType="separate"/>
      </w:r>
      <w:r>
        <w:rPr>
          <w:rFonts w:hint="eastAsia" w:ascii="黑体" w:eastAsia="黑体"/>
          <w:i w:val="0"/>
        </w:rPr>
        <w:t xml:space="preserve">8 </w:t>
      </w:r>
      <w:r>
        <w:rPr>
          <w:rFonts w:hint="eastAsia" w:ascii="Times New Roman"/>
        </w:rPr>
        <w:t>报告</w:t>
      </w:r>
      <w:r>
        <w:tab/>
      </w:r>
      <w:r>
        <w:fldChar w:fldCharType="begin"/>
      </w:r>
      <w:r>
        <w:instrText xml:space="preserve"> PAGEREF _Toc1284 \h </w:instrText>
      </w:r>
      <w:r>
        <w:fldChar w:fldCharType="separate"/>
      </w:r>
      <w:r>
        <w:t>7</w:t>
      </w:r>
      <w:r>
        <w:fldChar w:fldCharType="end"/>
      </w:r>
      <w:r>
        <w:rPr>
          <w:rFonts w:ascii="Times New Roman" w:hAnsi="Times New Roman"/>
        </w:rPr>
        <w:fldChar w:fldCharType="end"/>
      </w:r>
    </w:p>
    <w:p w14:paraId="5E6DE57E">
      <w:pPr>
        <w:pStyle w:val="21"/>
        <w:tabs>
          <w:tab w:val="right" w:leader="dot" w:pos="9354"/>
        </w:tabs>
      </w:pPr>
      <w:r>
        <w:rPr>
          <w:rFonts w:ascii="Times New Roman" w:hAnsi="Times New Roman"/>
        </w:rPr>
        <w:fldChar w:fldCharType="begin"/>
      </w:r>
      <w:r>
        <w:rPr>
          <w:rFonts w:ascii="Times New Roman" w:hAnsi="Times New Roman"/>
        </w:rPr>
        <w:instrText xml:space="preserve"> HYPERLINK \l _Toc26561 </w:instrText>
      </w:r>
      <w:r>
        <w:rPr>
          <w:rFonts w:ascii="Times New Roman" w:hAnsi="Times New Roman"/>
        </w:rPr>
        <w:fldChar w:fldCharType="separate"/>
      </w:r>
      <w:r>
        <w:rPr>
          <w:rFonts w:hint="eastAsia" w:ascii="Times New Roman"/>
          <w:spacing w:val="100"/>
        </w:rPr>
        <w:t xml:space="preserve">附录A </w:t>
      </w:r>
      <w:r>
        <w:rPr>
          <w:rFonts w:ascii="Times New Roman"/>
        </w:rPr>
        <w:t xml:space="preserve"> </w:t>
      </w:r>
      <w:r>
        <w:rPr>
          <w:rFonts w:hint="eastAsia" w:ascii="Times New Roman"/>
        </w:rPr>
        <w:t>（资料性）</w:t>
      </w:r>
      <w:r>
        <w:rPr>
          <w:rFonts w:ascii="Times New Roman"/>
        </w:rPr>
        <w:t xml:space="preserve"> </w:t>
      </w:r>
      <w:r>
        <w:rPr>
          <w:rFonts w:hint="eastAsia" w:ascii="Times New Roman"/>
        </w:rPr>
        <w:t>幕墙玻璃的性能参数</w:t>
      </w:r>
      <w:r>
        <w:tab/>
      </w:r>
      <w:r>
        <w:fldChar w:fldCharType="begin"/>
      </w:r>
      <w:r>
        <w:instrText xml:space="preserve"> PAGEREF _Toc26561 \h </w:instrText>
      </w:r>
      <w:r>
        <w:fldChar w:fldCharType="separate"/>
      </w:r>
      <w:r>
        <w:t>9</w:t>
      </w:r>
      <w:r>
        <w:fldChar w:fldCharType="end"/>
      </w:r>
      <w:r>
        <w:rPr>
          <w:rFonts w:ascii="Times New Roman" w:hAnsi="Times New Roman"/>
        </w:rPr>
        <w:fldChar w:fldCharType="end"/>
      </w:r>
    </w:p>
    <w:p w14:paraId="3DD4D017">
      <w:pPr>
        <w:pStyle w:val="21"/>
        <w:tabs>
          <w:tab w:val="right" w:leader="dot" w:pos="9354"/>
        </w:tabs>
      </w:pPr>
      <w:r>
        <w:rPr>
          <w:rFonts w:ascii="Times New Roman" w:hAnsi="Times New Roman"/>
        </w:rPr>
        <w:fldChar w:fldCharType="begin"/>
      </w:r>
      <w:r>
        <w:rPr>
          <w:rFonts w:ascii="Times New Roman" w:hAnsi="Times New Roman"/>
        </w:rPr>
        <w:instrText xml:space="preserve"> HYPERLINK \l _Toc4420 </w:instrText>
      </w:r>
      <w:r>
        <w:rPr>
          <w:rFonts w:ascii="Times New Roman" w:hAnsi="Times New Roman"/>
        </w:rPr>
        <w:fldChar w:fldCharType="separate"/>
      </w:r>
      <w:r>
        <w:rPr>
          <w:rFonts w:hint="eastAsia" w:ascii="Times New Roman"/>
          <w:spacing w:val="100"/>
        </w:rPr>
        <w:t xml:space="preserve">附录B </w:t>
      </w:r>
      <w:r>
        <w:rPr>
          <w:rFonts w:ascii="Times New Roman"/>
        </w:rPr>
        <w:t xml:space="preserve"> </w:t>
      </w:r>
      <w:r>
        <w:rPr>
          <w:rFonts w:hint="eastAsia" w:ascii="Times New Roman"/>
        </w:rPr>
        <w:t>（</w:t>
      </w:r>
      <w:r>
        <w:rPr>
          <w:rFonts w:hint="eastAsia" w:ascii="Times New Roman"/>
          <w:lang w:val="en-US" w:eastAsia="zh-CN"/>
        </w:rPr>
        <w:t>规范性</w:t>
      </w:r>
      <w:r>
        <w:rPr>
          <w:rFonts w:hint="eastAsia" w:ascii="Times New Roman"/>
        </w:rPr>
        <w:t>）</w:t>
      </w:r>
      <w:r>
        <w:rPr>
          <w:rFonts w:ascii="Times New Roman"/>
        </w:rPr>
        <w:t xml:space="preserve"> </w:t>
      </w:r>
      <w:r>
        <w:rPr>
          <w:rFonts w:hint="eastAsia" w:ascii="Times New Roman"/>
        </w:rPr>
        <w:t>玻璃幕墙反射光分析用计算参数</w:t>
      </w:r>
      <w:r>
        <w:tab/>
      </w:r>
      <w:r>
        <w:fldChar w:fldCharType="begin"/>
      </w:r>
      <w:r>
        <w:instrText xml:space="preserve"> PAGEREF _Toc4420 \h </w:instrText>
      </w:r>
      <w:r>
        <w:fldChar w:fldCharType="separate"/>
      </w:r>
      <w:r>
        <w:t>11</w:t>
      </w:r>
      <w:r>
        <w:fldChar w:fldCharType="end"/>
      </w:r>
      <w:r>
        <w:rPr>
          <w:rFonts w:ascii="Times New Roman" w:hAnsi="Times New Roman"/>
        </w:rPr>
        <w:fldChar w:fldCharType="end"/>
      </w:r>
    </w:p>
    <w:p w14:paraId="0CF161F1">
      <w:pPr>
        <w:pStyle w:val="21"/>
        <w:tabs>
          <w:tab w:val="right" w:leader="dot" w:pos="9354"/>
        </w:tabs>
      </w:pPr>
      <w:r>
        <w:rPr>
          <w:rFonts w:ascii="Times New Roman" w:hAnsi="Times New Roman"/>
        </w:rPr>
        <w:fldChar w:fldCharType="begin"/>
      </w:r>
      <w:r>
        <w:rPr>
          <w:rFonts w:ascii="Times New Roman" w:hAnsi="Times New Roman"/>
        </w:rPr>
        <w:instrText xml:space="preserve"> HYPERLINK \l _Toc25959 </w:instrText>
      </w:r>
      <w:r>
        <w:rPr>
          <w:rFonts w:ascii="Times New Roman" w:hAnsi="Times New Roman"/>
        </w:rPr>
        <w:fldChar w:fldCharType="separate"/>
      </w:r>
      <w:r>
        <w:rPr>
          <w:rFonts w:hint="eastAsia" w:ascii="Times New Roman"/>
          <w:spacing w:val="100"/>
        </w:rPr>
        <w:t xml:space="preserve">附录C </w:t>
      </w:r>
      <w:r>
        <w:rPr>
          <w:rFonts w:ascii="Times New Roman"/>
        </w:rPr>
        <w:t xml:space="preserve"> </w:t>
      </w:r>
      <w:r>
        <w:rPr>
          <w:rFonts w:hint="eastAsia" w:ascii="Times New Roman"/>
        </w:rPr>
        <w:t>（资料性）</w:t>
      </w:r>
      <w:r>
        <w:rPr>
          <w:rFonts w:ascii="Times New Roman"/>
        </w:rPr>
        <w:t xml:space="preserve"> </w:t>
      </w:r>
      <w:r>
        <w:rPr>
          <w:rFonts w:hint="eastAsia" w:ascii="Times New Roman"/>
        </w:rPr>
        <w:t>视网膜辐照度计算及眩光判定</w:t>
      </w:r>
      <w:r>
        <w:tab/>
      </w:r>
      <w:r>
        <w:fldChar w:fldCharType="begin"/>
      </w:r>
      <w:r>
        <w:instrText xml:space="preserve"> PAGEREF _Toc25959 \h </w:instrText>
      </w:r>
      <w:r>
        <w:fldChar w:fldCharType="separate"/>
      </w:r>
      <w:r>
        <w:t>13</w:t>
      </w:r>
      <w:r>
        <w:fldChar w:fldCharType="end"/>
      </w:r>
      <w:r>
        <w:rPr>
          <w:rFonts w:ascii="Times New Roman" w:hAnsi="Times New Roman"/>
        </w:rPr>
        <w:fldChar w:fldCharType="end"/>
      </w:r>
    </w:p>
    <w:p w14:paraId="415D91A5">
      <w:pPr>
        <w:pStyle w:val="21"/>
        <w:tabs>
          <w:tab w:val="right" w:leader="dot" w:pos="9354"/>
        </w:tabs>
      </w:pPr>
      <w:r>
        <w:rPr>
          <w:rFonts w:ascii="Times New Roman" w:hAnsi="Times New Roman"/>
        </w:rPr>
        <w:fldChar w:fldCharType="begin"/>
      </w:r>
      <w:r>
        <w:rPr>
          <w:rFonts w:ascii="Times New Roman" w:hAnsi="Times New Roman"/>
        </w:rPr>
        <w:instrText xml:space="preserve"> HYPERLINK \l _Toc4647 </w:instrText>
      </w:r>
      <w:r>
        <w:rPr>
          <w:rFonts w:ascii="Times New Roman" w:hAnsi="Times New Roman"/>
        </w:rPr>
        <w:fldChar w:fldCharType="separate"/>
      </w:r>
      <w:r>
        <w:rPr>
          <w:rFonts w:hint="eastAsia" w:ascii="Times New Roman"/>
          <w:spacing w:val="100"/>
        </w:rPr>
        <w:t xml:space="preserve">附录D </w:t>
      </w:r>
      <w:r>
        <w:rPr>
          <w:rFonts w:ascii="Times New Roman"/>
        </w:rPr>
        <w:t xml:space="preserve"> </w:t>
      </w:r>
      <w:r>
        <w:rPr>
          <w:rFonts w:hint="eastAsia" w:ascii="Times New Roman"/>
        </w:rPr>
        <w:t>（资料性）</w:t>
      </w:r>
      <w:r>
        <w:rPr>
          <w:rFonts w:ascii="Times New Roman"/>
        </w:rPr>
        <w:t xml:space="preserve"> </w:t>
      </w:r>
      <w:r>
        <w:rPr>
          <w:rFonts w:hint="eastAsia" w:ascii="Times New Roman"/>
        </w:rPr>
        <w:t>玻璃幕墙反射光分析报告模板</w:t>
      </w:r>
      <w:r>
        <w:tab/>
      </w:r>
      <w:r>
        <w:fldChar w:fldCharType="begin"/>
      </w:r>
      <w:r>
        <w:instrText xml:space="preserve"> PAGEREF _Toc4647 \h </w:instrText>
      </w:r>
      <w:r>
        <w:fldChar w:fldCharType="separate"/>
      </w:r>
      <w:r>
        <w:t>14</w:t>
      </w:r>
      <w:r>
        <w:fldChar w:fldCharType="end"/>
      </w:r>
      <w:r>
        <w:rPr>
          <w:rFonts w:ascii="Times New Roman" w:hAnsi="Times New Roman"/>
        </w:rPr>
        <w:fldChar w:fldCharType="end"/>
      </w:r>
    </w:p>
    <w:p w14:paraId="427BA89C">
      <w:pPr>
        <w:pStyle w:val="21"/>
        <w:tabs>
          <w:tab w:val="right" w:leader="dot" w:pos="9354"/>
        </w:tabs>
      </w:pPr>
      <w:r>
        <w:rPr>
          <w:rFonts w:ascii="Times New Roman" w:hAnsi="Times New Roman"/>
        </w:rPr>
        <w:fldChar w:fldCharType="begin"/>
      </w:r>
      <w:r>
        <w:rPr>
          <w:rFonts w:ascii="Times New Roman" w:hAnsi="Times New Roman"/>
        </w:rPr>
        <w:instrText xml:space="preserve"> HYPERLINK \l _Toc3790 </w:instrText>
      </w:r>
      <w:r>
        <w:rPr>
          <w:rFonts w:ascii="Times New Roman" w:hAnsi="Times New Roman"/>
        </w:rPr>
        <w:fldChar w:fldCharType="separate"/>
      </w:r>
      <w:r>
        <w:rPr>
          <w:rFonts w:hint="eastAsia" w:ascii="Times New Roman" w:hAnsi="Times New Roman"/>
          <w:spacing w:val="105"/>
        </w:rPr>
        <w:t>参考文</w:t>
      </w:r>
      <w:r>
        <w:rPr>
          <w:rFonts w:hint="eastAsia" w:ascii="Times New Roman" w:hAnsi="Times New Roman"/>
        </w:rPr>
        <w:t>献</w:t>
      </w:r>
      <w:r>
        <w:tab/>
      </w:r>
      <w:r>
        <w:fldChar w:fldCharType="begin"/>
      </w:r>
      <w:r>
        <w:instrText xml:space="preserve"> PAGEREF _Toc3790 \h </w:instrText>
      </w:r>
      <w:r>
        <w:fldChar w:fldCharType="separate"/>
      </w:r>
      <w:r>
        <w:t>16</w:t>
      </w:r>
      <w:r>
        <w:fldChar w:fldCharType="end"/>
      </w:r>
      <w:r>
        <w:rPr>
          <w:rFonts w:ascii="Times New Roman" w:hAnsi="Times New Roman"/>
        </w:rPr>
        <w:fldChar w:fldCharType="end"/>
      </w:r>
    </w:p>
    <w:p w14:paraId="442CE835">
      <w:pPr>
        <w:pStyle w:val="95"/>
        <w:spacing w:after="468"/>
        <w:rPr>
          <w:rFonts w:ascii="Times New Roman" w:hAnsi="Times New Roman"/>
        </w:rPr>
        <w:sectPr>
          <w:headerReference r:id="rId9" w:type="default"/>
          <w:footerReference r:id="rId11" w:type="default"/>
          <w:headerReference r:id="rId10" w:type="even"/>
          <w:footerReference r:id="rId12" w:type="even"/>
          <w:pgSz w:w="11906" w:h="16838"/>
          <w:pgMar w:top="1871"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type="lines" w:linePitch="312" w:charSpace="0"/>
        </w:sectPr>
      </w:pPr>
      <w:r>
        <w:rPr>
          <w:rFonts w:ascii="Times New Roman" w:hAnsi="Times New Roman"/>
        </w:rPr>
        <w:fldChar w:fldCharType="end"/>
      </w:r>
    </w:p>
    <w:bookmarkEnd w:id="19"/>
    <w:p w14:paraId="5E8FB2EE">
      <w:pPr>
        <w:pStyle w:val="93"/>
        <w:spacing w:after="468"/>
        <w:rPr>
          <w:rFonts w:ascii="Times New Roman"/>
        </w:rPr>
      </w:pPr>
      <w:bookmarkStart w:id="21" w:name="_Toc4147"/>
      <w:bookmarkStart w:id="22" w:name="_Toc10296"/>
      <w:bookmarkStart w:id="23" w:name="BookMark2"/>
      <w:r>
        <w:rPr>
          <w:rFonts w:ascii="Times New Roman"/>
          <w:spacing w:val="320"/>
        </w:rPr>
        <w:t>前</w:t>
      </w:r>
      <w:r>
        <w:rPr>
          <w:rFonts w:ascii="Times New Roman"/>
        </w:rPr>
        <w:t>言</w:t>
      </w:r>
      <w:bookmarkEnd w:id="20"/>
      <w:bookmarkEnd w:id="21"/>
      <w:bookmarkEnd w:id="22"/>
    </w:p>
    <w:p w14:paraId="49D031BF">
      <w:pPr>
        <w:pStyle w:val="60"/>
        <w:ind w:firstLine="420"/>
        <w:rPr>
          <w:rFonts w:ascii="Times New Roman"/>
        </w:rPr>
      </w:pPr>
      <w:r>
        <w:rPr>
          <w:rFonts w:hint="eastAsia" w:ascii="Times New Roman"/>
        </w:rPr>
        <w:t>本文件按照GB/T 1.1—2020《标准化工作导则第1部分：标准化文件的结构和起草规则》的规定起草。</w:t>
      </w:r>
    </w:p>
    <w:p w14:paraId="53114BB2">
      <w:pPr>
        <w:pStyle w:val="60"/>
        <w:ind w:firstLine="420"/>
        <w:rPr>
          <w:rFonts w:ascii="Times New Roman"/>
        </w:rPr>
      </w:pPr>
      <w:r>
        <w:rPr>
          <w:rFonts w:hint="eastAsia" w:ascii="Times New Roman"/>
        </w:rPr>
        <w:t>本文件代替GB/T 18091-20</w:t>
      </w:r>
      <w:r>
        <w:rPr>
          <w:rFonts w:ascii="Times New Roman"/>
        </w:rPr>
        <w:t>15</w:t>
      </w:r>
      <w:r>
        <w:rPr>
          <w:rFonts w:hint="eastAsia" w:ascii="Times New Roman"/>
        </w:rPr>
        <w:t>《玻璃幕墙光热性能》，与GB/T 18091-20</w:t>
      </w:r>
      <w:r>
        <w:rPr>
          <w:rFonts w:ascii="Times New Roman"/>
        </w:rPr>
        <w:t>15</w:t>
      </w:r>
      <w:r>
        <w:rPr>
          <w:rFonts w:hint="eastAsia" w:ascii="Times New Roman"/>
        </w:rPr>
        <w:t>相比，除结构调整和编辑性改动外，主要技术变化如下:</w:t>
      </w:r>
    </w:p>
    <w:p w14:paraId="0E81A4E0">
      <w:pPr>
        <w:pStyle w:val="136"/>
        <w:rPr>
          <w:rFonts w:ascii="Times New Roman"/>
        </w:rPr>
      </w:pPr>
      <w:r>
        <w:rPr>
          <w:rFonts w:hint="eastAsia" w:ascii="Times New Roman"/>
        </w:rPr>
        <w:t>增加了“太阳红外热能总透射比”</w:t>
      </w:r>
      <w:r>
        <w:rPr>
          <w:rFonts w:hint="eastAsia" w:ascii="Times New Roman"/>
          <w:lang w:eastAsia="zh-CN"/>
        </w:rPr>
        <w:t>、</w:t>
      </w:r>
      <w:r>
        <w:rPr>
          <w:rFonts w:hint="eastAsia" w:ascii="Times New Roman"/>
        </w:rPr>
        <w:t>“镜面光泽度”</w:t>
      </w:r>
      <w:r>
        <w:rPr>
          <w:rFonts w:hint="eastAsia" w:ascii="Times New Roman"/>
          <w:lang w:val="en-US" w:eastAsia="zh-CN"/>
        </w:rPr>
        <w:t>和“反射光聚光”</w:t>
      </w:r>
      <w:r>
        <w:rPr>
          <w:rFonts w:hint="eastAsia" w:ascii="Times New Roman"/>
        </w:rPr>
        <w:t>的术语和定义（见3.</w:t>
      </w:r>
      <w:r>
        <w:rPr>
          <w:rFonts w:hint="eastAsia" w:ascii="Times New Roman"/>
          <w:lang w:val="en-US" w:eastAsia="zh-CN"/>
        </w:rPr>
        <w:t>8、3.12</w:t>
      </w:r>
      <w:r>
        <w:rPr>
          <w:rFonts w:hint="eastAsia" w:ascii="Times New Roman"/>
        </w:rPr>
        <w:t>和3.1</w:t>
      </w:r>
      <w:r>
        <w:rPr>
          <w:rFonts w:hint="eastAsia" w:ascii="Times New Roman"/>
          <w:lang w:val="en-US" w:eastAsia="zh-CN"/>
        </w:rPr>
        <w:t>3</w:t>
      </w:r>
      <w:r>
        <w:rPr>
          <w:rFonts w:hint="eastAsia" w:ascii="Times New Roman"/>
        </w:rPr>
        <w:t>）</w:t>
      </w:r>
      <w:r>
        <w:rPr>
          <w:rFonts w:hint="eastAsia"/>
        </w:rPr>
        <w:t>；</w:t>
      </w:r>
    </w:p>
    <w:p w14:paraId="7B6D9ADA">
      <w:pPr>
        <w:pStyle w:val="136"/>
        <w:rPr>
          <w:rFonts w:ascii="Times New Roman"/>
        </w:rPr>
      </w:pPr>
      <w:r>
        <w:rPr>
          <w:rFonts w:hint="eastAsia"/>
          <w:lang w:val="en-US" w:eastAsia="zh-CN"/>
        </w:rPr>
        <w:t>删除了光热性能分级（见2015年版的5.1）；</w:t>
      </w:r>
    </w:p>
    <w:p w14:paraId="1E9ECF30">
      <w:pPr>
        <w:pStyle w:val="136"/>
        <w:rPr>
          <w:rFonts w:ascii="Times New Roman"/>
        </w:rPr>
      </w:pPr>
      <w:r>
        <w:rPr>
          <w:rFonts w:hint="eastAsia" w:ascii="Times New Roman"/>
        </w:rPr>
        <w:t>更改了不同地区玻璃幕墙光热性能的要求（见5.2.1，2015年版的5.2.1）</w:t>
      </w:r>
      <w:r>
        <w:rPr>
          <w:rFonts w:hint="eastAsia"/>
        </w:rPr>
        <w:t>；</w:t>
      </w:r>
    </w:p>
    <w:p w14:paraId="6E9FC0B0">
      <w:pPr>
        <w:pStyle w:val="136"/>
        <w:rPr>
          <w:rFonts w:ascii="Times New Roman"/>
        </w:rPr>
      </w:pPr>
      <w:r>
        <w:rPr>
          <w:rFonts w:hint="eastAsia"/>
          <w:lang w:val="en-US" w:eastAsia="zh-CN"/>
        </w:rPr>
        <w:t>增加了太阳光直接透射比和直接反射比、太阳红外热能总透射比、太阳能总透射比的检测方法（见</w:t>
      </w:r>
      <w:r>
        <w:rPr>
          <w:rFonts w:hint="eastAsia" w:ascii="Times New Roman"/>
          <w:lang w:val="en-US" w:eastAsia="zh-CN"/>
        </w:rPr>
        <w:t>6.2</w:t>
      </w:r>
      <w:r>
        <w:rPr>
          <w:rFonts w:hint="eastAsia"/>
          <w:lang w:val="en-US" w:eastAsia="zh-CN"/>
        </w:rPr>
        <w:t>）；</w:t>
      </w:r>
    </w:p>
    <w:p w14:paraId="4D7F258D">
      <w:pPr>
        <w:pStyle w:val="136"/>
        <w:rPr>
          <w:rFonts w:ascii="Times New Roman"/>
        </w:rPr>
      </w:pPr>
      <w:r>
        <w:rPr>
          <w:rFonts w:hint="eastAsia" w:ascii="Times New Roman"/>
        </w:rPr>
        <w:t>删除了影像畸变（见2015年版的6.4）</w:t>
      </w:r>
      <w:r>
        <w:rPr>
          <w:rFonts w:hint="eastAsia"/>
        </w:rPr>
        <w:t>；</w:t>
      </w:r>
    </w:p>
    <w:p w14:paraId="62C40543">
      <w:pPr>
        <w:pStyle w:val="136"/>
        <w:rPr>
          <w:rFonts w:ascii="Times New Roman"/>
        </w:rPr>
      </w:pPr>
      <w:r>
        <w:rPr>
          <w:rFonts w:hint="eastAsia" w:ascii="Times New Roman"/>
        </w:rPr>
        <w:t>增加了“反射光</w:t>
      </w:r>
      <w:r>
        <w:rPr>
          <w:rFonts w:hint="eastAsia" w:ascii="Times New Roman"/>
          <w:lang w:val="en-US" w:eastAsia="zh-CN"/>
        </w:rPr>
        <w:t>评价</w:t>
      </w:r>
      <w:r>
        <w:rPr>
          <w:rFonts w:hint="eastAsia" w:ascii="Times New Roman"/>
        </w:rPr>
        <w:t>”一章（</w:t>
      </w:r>
      <w:r>
        <w:rPr>
          <w:rFonts w:hint="eastAsia"/>
        </w:rPr>
        <w:t>见第7章</w:t>
      </w:r>
      <w:r>
        <w:rPr>
          <w:rFonts w:hint="eastAsia" w:ascii="Times New Roman"/>
        </w:rPr>
        <w:t>）；</w:t>
      </w:r>
    </w:p>
    <w:p w14:paraId="75AA98D4">
      <w:pPr>
        <w:pStyle w:val="136"/>
        <w:rPr>
          <w:rFonts w:ascii="Times New Roman"/>
        </w:rPr>
      </w:pPr>
      <w:r>
        <w:rPr>
          <w:rFonts w:hint="eastAsia"/>
        </w:rPr>
        <w:t>增加了“</w:t>
      </w:r>
      <w:r>
        <w:rPr>
          <w:rFonts w:hint="eastAsia"/>
          <w:lang w:val="en-US" w:eastAsia="zh-CN"/>
        </w:rPr>
        <w:t>报告</w:t>
      </w:r>
      <w:r>
        <w:rPr>
          <w:rFonts w:hint="eastAsia"/>
        </w:rPr>
        <w:t>”一章（见第8章）；</w:t>
      </w:r>
    </w:p>
    <w:p w14:paraId="172EA22B">
      <w:pPr>
        <w:pStyle w:val="136"/>
        <w:rPr>
          <w:rFonts w:ascii="Times New Roman"/>
        </w:rPr>
      </w:pPr>
      <w:r>
        <w:rPr>
          <w:rFonts w:hint="eastAsia"/>
          <w:lang w:val="en-US" w:eastAsia="zh-CN"/>
        </w:rPr>
        <w:t>更新了幕墙玻璃的性能参数（见附录A）；</w:t>
      </w:r>
    </w:p>
    <w:p w14:paraId="2A3669E3">
      <w:pPr>
        <w:pStyle w:val="136"/>
        <w:rPr>
          <w:rFonts w:ascii="Times New Roman"/>
        </w:rPr>
      </w:pPr>
      <w:r>
        <w:rPr>
          <w:rFonts w:hint="eastAsia"/>
          <w:lang w:val="en-US" w:eastAsia="zh-CN"/>
        </w:rPr>
        <w:t>补充完善了</w:t>
      </w:r>
      <w:r>
        <w:rPr>
          <w:rFonts w:hint="eastAsia"/>
        </w:rPr>
        <w:t>玻璃幕墙反射光分析用计算参数</w:t>
      </w:r>
      <w:r>
        <w:rPr>
          <w:rFonts w:hint="eastAsia"/>
          <w:lang w:eastAsia="zh-CN"/>
        </w:rPr>
        <w:t>（</w:t>
      </w:r>
      <w:r>
        <w:rPr>
          <w:rFonts w:hint="eastAsia"/>
          <w:lang w:val="en-US" w:eastAsia="zh-CN"/>
        </w:rPr>
        <w:t>附录B</w:t>
      </w:r>
      <w:r>
        <w:rPr>
          <w:rFonts w:hint="eastAsia"/>
          <w:lang w:eastAsia="zh-CN"/>
        </w:rPr>
        <w:t>）；</w:t>
      </w:r>
    </w:p>
    <w:p w14:paraId="21D06625">
      <w:pPr>
        <w:pStyle w:val="136"/>
        <w:rPr>
          <w:rFonts w:ascii="Times New Roman"/>
        </w:rPr>
      </w:pPr>
      <w:r>
        <w:rPr>
          <w:rFonts w:hint="eastAsia" w:ascii="Times New Roman"/>
        </w:rPr>
        <w:t>增加了视网膜辐照度计算及眩光判定（见附录C）</w:t>
      </w:r>
      <w:r>
        <w:rPr>
          <w:rFonts w:hint="eastAsia"/>
        </w:rPr>
        <w:t>；</w:t>
      </w:r>
    </w:p>
    <w:p w14:paraId="52EB5DB3">
      <w:pPr>
        <w:pStyle w:val="136"/>
        <w:rPr>
          <w:rFonts w:ascii="Times New Roman"/>
        </w:rPr>
      </w:pPr>
      <w:r>
        <w:rPr>
          <w:rFonts w:hint="eastAsia" w:ascii="Times New Roman"/>
        </w:rPr>
        <w:t>增加了玻璃幕墙反射光分析报告模板（见附录D）</w:t>
      </w:r>
      <w:r>
        <w:rPr>
          <w:rStyle w:val="36"/>
          <w:rFonts w:hint="eastAsia" w:ascii="Times New Roman"/>
          <w:kern w:val="2"/>
        </w:rPr>
        <w:t>。</w:t>
      </w:r>
    </w:p>
    <w:p w14:paraId="2A768813">
      <w:pPr>
        <w:pStyle w:val="60"/>
        <w:ind w:firstLine="420"/>
        <w:rPr>
          <w:rFonts w:ascii="Times New Roman"/>
        </w:rPr>
      </w:pPr>
      <w:r>
        <w:rPr>
          <w:rFonts w:hint="eastAsia" w:ascii="Times New Roman"/>
        </w:rPr>
        <w:t>本文件由</w:t>
      </w:r>
      <w:r>
        <w:rPr>
          <w:rFonts w:hint="eastAsia" w:ascii="Times New Roman"/>
          <w:lang w:val="en-US" w:eastAsia="zh-CN"/>
        </w:rPr>
        <w:t>中华人民共和国</w:t>
      </w:r>
      <w:r>
        <w:rPr>
          <w:rFonts w:hint="eastAsia" w:ascii="Times New Roman"/>
        </w:rPr>
        <w:t>住房和城乡建设部提出。</w:t>
      </w:r>
    </w:p>
    <w:p w14:paraId="204F17E5">
      <w:pPr>
        <w:pStyle w:val="60"/>
        <w:ind w:firstLine="420"/>
        <w:rPr>
          <w:rFonts w:ascii="Times New Roman"/>
        </w:rPr>
      </w:pPr>
      <w:r>
        <w:rPr>
          <w:rFonts w:hint="eastAsia" w:ascii="Times New Roman"/>
        </w:rPr>
        <w:t>本文件由全国建筑幕墙门窗标准化技术委员会（SAC/TC 448）归口。</w:t>
      </w:r>
    </w:p>
    <w:p w14:paraId="1554819D">
      <w:pPr>
        <w:pStyle w:val="60"/>
        <w:ind w:firstLine="420"/>
        <w:rPr>
          <w:rFonts w:hint="eastAsia" w:ascii="Times New Roman" w:eastAsia="宋体"/>
          <w:highlight w:val="none"/>
          <w:lang w:eastAsia="zh-CN"/>
        </w:rPr>
      </w:pPr>
      <w:r>
        <w:rPr>
          <w:rFonts w:hint="eastAsia" w:ascii="Times New Roman"/>
          <w:highlight w:val="none"/>
        </w:rPr>
        <w:t>本文件起草单位：中国建筑科学研究院有限公司、建科环能科技有限公司、中建工程产业技术研究院有限公司、上海市环境科学研究院、浙江省建科建筑设计院有限公司、广州市环境保护科学研究院有限公司、湖南大学、</w:t>
      </w:r>
      <w:r>
        <w:rPr>
          <w:rFonts w:hint="eastAsia" w:ascii="Times New Roman"/>
          <w:highlight w:val="none"/>
          <w:lang w:val="en-US" w:eastAsia="zh-CN"/>
        </w:rPr>
        <w:t>华中科技大学、</w:t>
      </w:r>
      <w:r>
        <w:rPr>
          <w:rFonts w:hint="eastAsia" w:ascii="Times New Roman"/>
          <w:highlight w:val="none"/>
        </w:rPr>
        <w:t>中国南玻集团股份有限公司、上海天乔信息科技有限公司、北京奥博泰科技有限公司</w:t>
      </w:r>
      <w:r>
        <w:rPr>
          <w:rFonts w:hint="eastAsia" w:ascii="Times New Roman"/>
          <w:highlight w:val="none"/>
          <w:lang w:eastAsia="zh-CN"/>
        </w:rPr>
        <w:t>、</w:t>
      </w:r>
      <w:r>
        <w:rPr>
          <w:rFonts w:hint="eastAsia" w:ascii="Times New Roman"/>
          <w:highlight w:val="none"/>
        </w:rPr>
        <w:t>中国耀华玻璃集团有限公司</w:t>
      </w:r>
      <w:r>
        <w:rPr>
          <w:rFonts w:hint="eastAsia" w:ascii="Times New Roman"/>
          <w:highlight w:val="none"/>
          <w:lang w:eastAsia="zh-CN"/>
        </w:rPr>
        <w:t>、</w:t>
      </w:r>
      <w:r>
        <w:rPr>
          <w:rFonts w:hint="eastAsia" w:ascii="Times New Roman"/>
          <w:highlight w:val="none"/>
          <w:lang w:val="en-US" w:eastAsia="zh-CN"/>
        </w:rPr>
        <w:t>武汉凌云建筑装饰工程有限公司、</w:t>
      </w:r>
      <w:r>
        <w:rPr>
          <w:rFonts w:hint="eastAsia" w:ascii="Times New Roman"/>
          <w:highlight w:val="none"/>
        </w:rPr>
        <w:t>中力玻璃有限公司</w:t>
      </w:r>
      <w:r>
        <w:rPr>
          <w:rFonts w:hint="eastAsia" w:ascii="Times New Roman"/>
          <w:highlight w:val="none"/>
          <w:lang w:eastAsia="zh-CN"/>
        </w:rPr>
        <w:t>、</w:t>
      </w:r>
      <w:r>
        <w:rPr>
          <w:rFonts w:hint="eastAsia" w:ascii="Times New Roman"/>
          <w:highlight w:val="none"/>
        </w:rPr>
        <w:t>望美实业集团有限公司</w:t>
      </w:r>
      <w:r>
        <w:rPr>
          <w:rFonts w:hint="eastAsia" w:ascii="Times New Roman"/>
          <w:highlight w:val="none"/>
          <w:lang w:eastAsia="zh-CN"/>
        </w:rPr>
        <w:t>、广东科腾幕墙有限公司、</w:t>
      </w:r>
      <w:r>
        <w:rPr>
          <w:rFonts w:hint="eastAsia" w:ascii="Times New Roman"/>
          <w:color w:val="auto"/>
          <w:highlight w:val="none"/>
          <w:lang w:eastAsia="zh-CN"/>
        </w:rPr>
        <w:t>中建深圳装饰有限公司</w:t>
      </w:r>
      <w:r>
        <w:rPr>
          <w:rFonts w:hint="eastAsia" w:ascii="Times New Roman"/>
          <w:highlight w:val="none"/>
          <w:lang w:eastAsia="zh-CN"/>
        </w:rPr>
        <w:t>、</w:t>
      </w:r>
      <w:r>
        <w:rPr>
          <w:rFonts w:hint="eastAsia" w:ascii="Times New Roman"/>
          <w:highlight w:val="none"/>
        </w:rPr>
        <w:t>天津旗滨节能玻璃有限公司</w:t>
      </w:r>
    </w:p>
    <w:p w14:paraId="65FD1A35">
      <w:pPr>
        <w:pStyle w:val="60"/>
        <w:ind w:firstLine="420"/>
        <w:rPr>
          <w:rFonts w:hint="eastAsia" w:ascii="Times New Roman" w:eastAsia="宋体"/>
          <w:highlight w:val="none"/>
          <w:lang w:eastAsia="zh-CN"/>
        </w:rPr>
      </w:pPr>
      <w:r>
        <w:rPr>
          <w:rFonts w:hint="eastAsia" w:ascii="Times New Roman"/>
          <w:highlight w:val="none"/>
        </w:rPr>
        <w:t>本文件主要起草人：罗涛、张滨、周辉、</w:t>
      </w:r>
      <w:r>
        <w:rPr>
          <w:rFonts w:hint="eastAsia" w:ascii="Times New Roman"/>
          <w:highlight w:val="none"/>
          <w:lang w:val="en-US" w:eastAsia="zh-CN"/>
        </w:rPr>
        <w:t>刘会涛、</w:t>
      </w:r>
      <w:r>
        <w:rPr>
          <w:rFonts w:hint="eastAsia" w:ascii="Times New Roman"/>
          <w:highlight w:val="none"/>
        </w:rPr>
        <w:t>夏丹、杨以晨、</w:t>
      </w:r>
      <w:r>
        <w:rPr>
          <w:rFonts w:hint="eastAsia" w:ascii="Times New Roman"/>
          <w:highlight w:val="none"/>
          <w:lang w:val="en-US" w:eastAsia="zh-CN"/>
        </w:rPr>
        <w:t>杨寒羽</w:t>
      </w:r>
      <w:r>
        <w:rPr>
          <w:rFonts w:hint="eastAsia" w:ascii="Times New Roman"/>
          <w:highlight w:val="none"/>
        </w:rPr>
        <w:t>、</w:t>
      </w:r>
      <w:r>
        <w:rPr>
          <w:rFonts w:hint="eastAsia" w:ascii="Times New Roman"/>
          <w:highlight w:val="none"/>
          <w:lang w:val="en-US" w:eastAsia="zh-CN"/>
        </w:rPr>
        <w:t>徐燊、</w:t>
      </w:r>
      <w:r>
        <w:rPr>
          <w:rFonts w:hint="eastAsia" w:ascii="Times New Roman"/>
          <w:highlight w:val="none"/>
        </w:rPr>
        <w:t>李明光、刘启耀、田真、崔玉明、</w:t>
      </w:r>
      <w:r>
        <w:rPr>
          <w:rFonts w:hint="eastAsia" w:ascii="Times New Roman"/>
          <w:highlight w:val="none"/>
          <w:lang w:val="en-US" w:eastAsia="zh-CN"/>
        </w:rPr>
        <w:t>许海凤</w:t>
      </w:r>
      <w:r>
        <w:rPr>
          <w:rFonts w:hint="eastAsia" w:ascii="Times New Roman"/>
          <w:highlight w:val="none"/>
          <w:lang w:eastAsia="zh-CN"/>
        </w:rPr>
        <w:t>、</w:t>
      </w:r>
      <w:r>
        <w:rPr>
          <w:rFonts w:hint="eastAsia" w:ascii="Times New Roman"/>
          <w:highlight w:val="none"/>
        </w:rPr>
        <w:t>郑恒</w:t>
      </w:r>
      <w:r>
        <w:rPr>
          <w:rFonts w:hint="eastAsia" w:ascii="Times New Roman"/>
          <w:highlight w:val="none"/>
          <w:lang w:eastAsia="zh-CN"/>
        </w:rPr>
        <w:t>、</w:t>
      </w:r>
      <w:r>
        <w:rPr>
          <w:rFonts w:hint="eastAsia" w:ascii="Times New Roman"/>
          <w:highlight w:val="none"/>
          <w:lang w:val="en-US" w:eastAsia="zh-CN"/>
        </w:rPr>
        <w:t>吴明君、</w:t>
      </w:r>
      <w:r>
        <w:rPr>
          <w:rFonts w:hint="eastAsia" w:ascii="Times New Roman"/>
          <w:highlight w:val="none"/>
        </w:rPr>
        <w:t>张西涛</w:t>
      </w:r>
      <w:r>
        <w:rPr>
          <w:rFonts w:hint="eastAsia" w:ascii="Times New Roman"/>
          <w:highlight w:val="none"/>
          <w:lang w:eastAsia="zh-CN"/>
        </w:rPr>
        <w:t>、</w:t>
      </w:r>
      <w:r>
        <w:rPr>
          <w:rFonts w:hint="eastAsia" w:ascii="Times New Roman"/>
          <w:highlight w:val="none"/>
        </w:rPr>
        <w:t>程建飞</w:t>
      </w:r>
      <w:r>
        <w:rPr>
          <w:rFonts w:hint="eastAsia" w:ascii="Times New Roman"/>
          <w:highlight w:val="none"/>
          <w:lang w:eastAsia="zh-CN"/>
        </w:rPr>
        <w:t>、</w:t>
      </w:r>
      <w:r>
        <w:rPr>
          <w:rFonts w:hint="eastAsia" w:ascii="Times New Roman"/>
          <w:highlight w:val="none"/>
        </w:rPr>
        <w:t>潘清涛</w:t>
      </w:r>
      <w:r>
        <w:rPr>
          <w:rFonts w:hint="eastAsia" w:ascii="Times New Roman"/>
          <w:highlight w:val="none"/>
          <w:lang w:eastAsia="zh-CN"/>
        </w:rPr>
        <w:t>、蔡培群、曹亚军、郭明江</w:t>
      </w:r>
    </w:p>
    <w:p w14:paraId="39E3499B">
      <w:pPr>
        <w:pStyle w:val="60"/>
        <w:ind w:firstLine="420"/>
        <w:rPr>
          <w:rFonts w:hint="eastAsia" w:ascii="Times New Roman"/>
        </w:rPr>
      </w:pPr>
      <w:r>
        <w:rPr>
          <w:rFonts w:hint="eastAsia" w:ascii="Times New Roman"/>
        </w:rPr>
        <w:t>本文件于</w:t>
      </w:r>
      <w:r>
        <w:rPr>
          <w:rFonts w:ascii="Times New Roman"/>
        </w:rPr>
        <w:t>2000</w:t>
      </w:r>
      <w:r>
        <w:rPr>
          <w:rFonts w:hint="eastAsia" w:ascii="Times New Roman"/>
        </w:rPr>
        <w:t>年</w:t>
      </w:r>
      <w:r>
        <w:rPr>
          <w:rFonts w:ascii="Times New Roman"/>
        </w:rPr>
        <w:t>5</w:t>
      </w:r>
      <w:r>
        <w:rPr>
          <w:rFonts w:hint="eastAsia" w:ascii="Times New Roman"/>
        </w:rPr>
        <w:t>月首次发布，</w:t>
      </w:r>
      <w:r>
        <w:rPr>
          <w:rFonts w:ascii="Times New Roman"/>
        </w:rPr>
        <w:t>201</w:t>
      </w:r>
      <w:r>
        <w:rPr>
          <w:rFonts w:hint="eastAsia" w:ascii="Times New Roman"/>
        </w:rPr>
        <w:t>5年9月第一次修订。</w:t>
      </w:r>
    </w:p>
    <w:p w14:paraId="728795A8">
      <w:pPr>
        <w:pStyle w:val="60"/>
        <w:ind w:firstLine="420"/>
        <w:rPr>
          <w:rFonts w:hint="eastAsia" w:ascii="Times New Roman"/>
        </w:rPr>
      </w:pPr>
    </w:p>
    <w:p w14:paraId="052D72D6">
      <w:pPr>
        <w:pStyle w:val="60"/>
        <w:ind w:firstLine="420"/>
        <w:rPr>
          <w:rFonts w:ascii="Times New Roman"/>
        </w:rPr>
        <w:sectPr>
          <w:headerReference r:id="rId13" w:type="default"/>
          <w:footerReference r:id="rId15" w:type="default"/>
          <w:headerReference r:id="rId14" w:type="even"/>
          <w:footerReference r:id="rId16" w:type="even"/>
          <w:pgSz w:w="11906" w:h="16838"/>
          <w:pgMar w:top="1871" w:right="1134" w:bottom="1134" w:left="1134" w:header="1418" w:footer="1134" w:gutter="284"/>
          <w:pgBorders>
            <w:top w:val="none" w:sz="0" w:space="0"/>
            <w:left w:val="none" w:sz="0" w:space="0"/>
            <w:bottom w:val="none" w:sz="0" w:space="0"/>
            <w:right w:val="none" w:sz="0" w:space="0"/>
          </w:pgBorders>
          <w:pgNumType w:fmt="upperRoman"/>
          <w:cols w:space="425" w:num="1"/>
          <w:formProt w:val="0"/>
          <w:docGrid w:type="lines" w:linePitch="312" w:charSpace="0"/>
        </w:sectPr>
      </w:pPr>
    </w:p>
    <w:bookmarkEnd w:id="23"/>
    <w:p w14:paraId="0A315076">
      <w:pPr>
        <w:spacing w:line="20" w:lineRule="exact"/>
        <w:jc w:val="center"/>
        <w:rPr>
          <w:rFonts w:ascii="Times New Roman" w:hAnsi="Times New Roman" w:eastAsia="黑体"/>
          <w:sz w:val="32"/>
          <w:szCs w:val="32"/>
        </w:rPr>
      </w:pPr>
      <w:bookmarkStart w:id="24" w:name="BookMark4"/>
    </w:p>
    <w:p w14:paraId="20E87EEF">
      <w:pPr>
        <w:spacing w:line="20" w:lineRule="exact"/>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C98EBC31BD92478B9ED0B49AF9BB4445"/>
        </w:placeholder>
      </w:sdtPr>
      <w:sdtEndPr>
        <w:rPr>
          <w:rFonts w:ascii="Times New Roman" w:hAnsi="Times New Roman"/>
        </w:rPr>
      </w:sdtEndPr>
      <w:sdtContent>
        <w:p w14:paraId="125A55EB">
          <w:pPr>
            <w:pStyle w:val="181"/>
            <w:spacing w:before="567" w:beforeLines="182" w:after="686" w:afterLines="220"/>
            <w:rPr>
              <w:rFonts w:ascii="Times New Roman" w:hAnsi="Times New Roman"/>
            </w:rPr>
          </w:pPr>
          <w:bookmarkStart w:id="25" w:name="NEW_STAND_NAME"/>
          <w:r>
            <w:rPr>
              <w:rFonts w:hint="eastAsia" w:ascii="Times New Roman" w:hAnsi="Times New Roman"/>
            </w:rPr>
            <w:t>玻璃幕墙光热性能</w:t>
          </w:r>
        </w:p>
      </w:sdtContent>
    </w:sdt>
    <w:bookmarkEnd w:id="25"/>
    <w:p w14:paraId="2E9EC99A">
      <w:pPr>
        <w:pStyle w:val="108"/>
        <w:spacing w:before="312" w:after="312"/>
        <w:rPr>
          <w:rFonts w:ascii="Times New Roman"/>
        </w:rPr>
      </w:pPr>
      <w:bookmarkStart w:id="26" w:name="_Toc24884218"/>
      <w:bookmarkStart w:id="27" w:name="_Toc26718930"/>
      <w:bookmarkStart w:id="28" w:name="_Toc17233325"/>
      <w:bookmarkStart w:id="29" w:name="_Toc18883"/>
      <w:bookmarkStart w:id="30" w:name="_Toc18878"/>
      <w:bookmarkStart w:id="31" w:name="_Toc26648465"/>
      <w:bookmarkStart w:id="32" w:name="_Toc61428352"/>
      <w:bookmarkStart w:id="33" w:name="_Toc26986771"/>
      <w:bookmarkStart w:id="34" w:name="_Toc17233333"/>
      <w:bookmarkStart w:id="35" w:name="_Toc24884211"/>
      <w:bookmarkStart w:id="36" w:name="_Toc26986530"/>
      <w:r>
        <w:rPr>
          <w:rFonts w:hint="eastAsia" w:ascii="Times New Roman"/>
        </w:rPr>
        <w:t>范围</w:t>
      </w:r>
      <w:bookmarkEnd w:id="26"/>
      <w:bookmarkEnd w:id="27"/>
      <w:bookmarkEnd w:id="28"/>
      <w:bookmarkEnd w:id="29"/>
      <w:bookmarkEnd w:id="30"/>
      <w:bookmarkEnd w:id="31"/>
      <w:bookmarkEnd w:id="32"/>
      <w:bookmarkEnd w:id="33"/>
      <w:bookmarkEnd w:id="34"/>
      <w:bookmarkEnd w:id="35"/>
      <w:bookmarkEnd w:id="36"/>
    </w:p>
    <w:p w14:paraId="1CA8D963">
      <w:pPr>
        <w:pStyle w:val="60"/>
        <w:spacing w:line="360" w:lineRule="auto"/>
        <w:ind w:firstLine="420"/>
        <w:rPr>
          <w:rFonts w:ascii="Times New Roman"/>
        </w:rPr>
      </w:pPr>
      <w:bookmarkStart w:id="37" w:name="_Toc26648466"/>
      <w:bookmarkStart w:id="38" w:name="_Toc24884219"/>
      <w:bookmarkStart w:id="39" w:name="_Toc17233334"/>
      <w:bookmarkStart w:id="40" w:name="_Toc24884212"/>
      <w:bookmarkStart w:id="41" w:name="_Toc17233326"/>
      <w:r>
        <w:rPr>
          <w:rFonts w:hint="eastAsia" w:ascii="Times New Roman"/>
        </w:rPr>
        <w:t>本文件规定了玻璃幕墙光热性能的一般</w:t>
      </w:r>
      <w:r>
        <w:rPr>
          <w:rFonts w:hint="eastAsia" w:ascii="Times New Roman"/>
          <w:lang w:val="en-US" w:eastAsia="zh-CN"/>
        </w:rPr>
        <w:t>要求</w:t>
      </w:r>
      <w:r>
        <w:rPr>
          <w:rFonts w:hint="eastAsia" w:ascii="Times New Roman"/>
        </w:rPr>
        <w:t>、</w:t>
      </w:r>
      <w:r>
        <w:rPr>
          <w:rFonts w:hint="eastAsia" w:ascii="Times New Roman"/>
          <w:lang w:val="en-US" w:eastAsia="zh-CN"/>
        </w:rPr>
        <w:t>分级及性能</w:t>
      </w:r>
      <w:r>
        <w:rPr>
          <w:rFonts w:hint="eastAsia" w:ascii="Times New Roman"/>
        </w:rPr>
        <w:t>要求、检验、反射光评价和报告。</w:t>
      </w:r>
    </w:p>
    <w:p w14:paraId="14A86689">
      <w:pPr>
        <w:pStyle w:val="60"/>
        <w:spacing w:line="360" w:lineRule="auto"/>
        <w:ind w:firstLine="420"/>
        <w:rPr>
          <w:rFonts w:ascii="Times New Roman"/>
        </w:rPr>
      </w:pPr>
      <w:r>
        <w:rPr>
          <w:rFonts w:hint="eastAsia" w:ascii="Times New Roman"/>
        </w:rPr>
        <w:t>本文件适用于玻璃幕墙</w:t>
      </w:r>
      <w:r>
        <w:rPr>
          <w:rFonts w:hint="eastAsia" w:ascii="Times New Roman"/>
          <w:lang w:val="en-US" w:eastAsia="zh-CN"/>
        </w:rPr>
        <w:t>光热性能的检验与评价</w:t>
      </w:r>
      <w:r>
        <w:rPr>
          <w:rFonts w:hint="eastAsia" w:ascii="Times New Roman"/>
        </w:rPr>
        <w:t>。</w:t>
      </w:r>
    </w:p>
    <w:p w14:paraId="1B7258C2">
      <w:pPr>
        <w:pStyle w:val="108"/>
        <w:spacing w:before="312" w:after="312"/>
        <w:rPr>
          <w:rFonts w:ascii="Times New Roman"/>
        </w:rPr>
      </w:pPr>
      <w:bookmarkStart w:id="42" w:name="_Toc26986772"/>
      <w:bookmarkStart w:id="43" w:name="_Toc4856"/>
      <w:bookmarkStart w:id="44" w:name="_Toc26718931"/>
      <w:bookmarkStart w:id="45" w:name="_Toc26986531"/>
      <w:bookmarkStart w:id="46" w:name="_Toc61428353"/>
      <w:bookmarkStart w:id="47" w:name="_Toc4749"/>
      <w:r>
        <w:rPr>
          <w:rFonts w:hint="eastAsia" w:ascii="Times New Roman"/>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ascii="Times New Roman"/>
        </w:rPr>
        <w:id w:val="715848253"/>
        <w:placeholder>
          <w:docPart w:val="0B0114E111AC4E3DB08F660BB720EC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ascii="Times New Roman"/>
        </w:rPr>
      </w:sdtEndPr>
      <w:sdtContent>
        <w:p w14:paraId="0CC3CCCB">
          <w:pPr>
            <w:pStyle w:val="60"/>
            <w:spacing w:line="360" w:lineRule="auto"/>
            <w:ind w:firstLine="420"/>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E9431B5">
      <w:pPr>
        <w:pStyle w:val="60"/>
        <w:spacing w:line="360" w:lineRule="auto"/>
        <w:ind w:firstLine="420"/>
        <w:rPr>
          <w:rFonts w:ascii="Times New Roman"/>
        </w:rPr>
      </w:pPr>
      <w:r>
        <w:rPr>
          <w:rFonts w:hint="eastAsia" w:ascii="Times New Roman"/>
        </w:rPr>
        <w:t>GB/T 2680 建筑玻璃 可见光透射比、太阳光直接透射比、太阳能总透射比、紫外线透射比及有关窗玻璃参数的测定</w:t>
      </w:r>
    </w:p>
    <w:p w14:paraId="2643BBCE">
      <w:pPr>
        <w:pStyle w:val="60"/>
        <w:spacing w:line="360" w:lineRule="auto"/>
        <w:ind w:firstLine="420"/>
        <w:rPr>
          <w:rFonts w:ascii="Times New Roman"/>
        </w:rPr>
      </w:pPr>
      <w:r>
        <w:rPr>
          <w:rFonts w:hint="eastAsia" w:ascii="Times New Roman"/>
        </w:rPr>
        <w:t>GB/T 5699 采光测量方法</w:t>
      </w:r>
    </w:p>
    <w:p w14:paraId="067621F7">
      <w:pPr>
        <w:pStyle w:val="60"/>
        <w:spacing w:line="360" w:lineRule="auto"/>
        <w:ind w:firstLine="420"/>
        <w:rPr>
          <w:rFonts w:ascii="Times New Roman"/>
        </w:rPr>
      </w:pPr>
      <w:r>
        <w:rPr>
          <w:rFonts w:hint="eastAsia" w:ascii="Times New Roman"/>
        </w:rPr>
        <w:t>GB/T 11976</w:t>
      </w:r>
      <w:r>
        <w:rPr>
          <w:rFonts w:hint="eastAsia" w:ascii="Times New Roman"/>
          <w:lang w:val="en-US" w:eastAsia="zh-CN"/>
        </w:rPr>
        <w:t xml:space="preserve"> </w:t>
      </w:r>
      <w:r>
        <w:rPr>
          <w:rFonts w:hint="eastAsia" w:ascii="Times New Roman"/>
        </w:rPr>
        <w:t>建筑外窗采光性能分级及检测方法</w:t>
      </w:r>
    </w:p>
    <w:p w14:paraId="471773A8">
      <w:pPr>
        <w:pStyle w:val="60"/>
        <w:spacing w:line="360" w:lineRule="auto"/>
        <w:ind w:firstLine="420"/>
        <w:rPr>
          <w:rFonts w:hint="eastAsia" w:ascii="Times New Roman"/>
        </w:rPr>
      </w:pPr>
      <w:r>
        <w:rPr>
          <w:rFonts w:hint="eastAsia" w:ascii="Times New Roman"/>
        </w:rPr>
        <w:t>GB/T 20503</w:t>
      </w:r>
      <w:r>
        <w:rPr>
          <w:rFonts w:hint="eastAsia" w:ascii="Times New Roman"/>
          <w:lang w:val="en-US" w:eastAsia="zh-CN"/>
        </w:rPr>
        <w:t xml:space="preserve"> </w:t>
      </w:r>
      <w:r>
        <w:rPr>
          <w:rFonts w:hint="eastAsia" w:ascii="Times New Roman"/>
        </w:rPr>
        <w:t>铝及铝合金阳极氧化 阳极氧化膜镜面反射率和镜面光泽度的测定 20°、45°、60°、85°角度方向</w:t>
      </w:r>
    </w:p>
    <w:p w14:paraId="104C5DB7">
      <w:pPr>
        <w:pStyle w:val="60"/>
        <w:spacing w:line="360" w:lineRule="auto"/>
        <w:ind w:firstLine="420"/>
        <w:rPr>
          <w:rFonts w:hint="eastAsia" w:ascii="Times New Roman"/>
          <w:lang w:val="en-US" w:eastAsia="zh-CN"/>
        </w:rPr>
      </w:pPr>
      <w:r>
        <w:rPr>
          <w:rFonts w:hint="eastAsia" w:ascii="Times New Roman"/>
        </w:rPr>
        <w:t>GB/T 34327</w:t>
      </w:r>
      <w:r>
        <w:rPr>
          <w:rFonts w:hint="eastAsia" w:ascii="Times New Roman"/>
          <w:lang w:val="en-US" w:eastAsia="zh-CN"/>
        </w:rPr>
        <w:t xml:space="preserve"> 建筑幕墙术语</w:t>
      </w:r>
    </w:p>
    <w:p w14:paraId="49353AD6">
      <w:pPr>
        <w:pStyle w:val="60"/>
        <w:spacing w:line="360" w:lineRule="auto"/>
        <w:ind w:firstLine="420"/>
        <w:rPr>
          <w:rFonts w:hint="eastAsia" w:ascii="Times New Roman"/>
        </w:rPr>
      </w:pPr>
      <w:r>
        <w:rPr>
          <w:rFonts w:hint="eastAsia" w:ascii="Times New Roman"/>
        </w:rPr>
        <w:t>GB/T</w:t>
      </w:r>
      <w:r>
        <w:rPr>
          <w:rFonts w:hint="eastAsia" w:ascii="Times New Roman"/>
          <w:lang w:val="en-US" w:eastAsia="zh-CN"/>
        </w:rPr>
        <w:t xml:space="preserve"> </w:t>
      </w:r>
      <w:r>
        <w:rPr>
          <w:rFonts w:hint="eastAsia" w:ascii="Times New Roman"/>
        </w:rPr>
        <w:t>36142</w:t>
      </w:r>
      <w:r>
        <w:rPr>
          <w:rFonts w:hint="eastAsia" w:ascii="Times New Roman"/>
          <w:lang w:val="en-US" w:eastAsia="zh-CN"/>
        </w:rPr>
        <w:t xml:space="preserve"> </w:t>
      </w:r>
      <w:r>
        <w:rPr>
          <w:rFonts w:hint="eastAsia" w:ascii="Times New Roman"/>
        </w:rPr>
        <w:t>建筑玻璃颜色及色差的测量方法</w:t>
      </w:r>
    </w:p>
    <w:p w14:paraId="69BCCD45">
      <w:pPr>
        <w:pStyle w:val="60"/>
        <w:spacing w:line="360" w:lineRule="auto"/>
        <w:ind w:firstLine="420"/>
        <w:rPr>
          <w:rFonts w:hint="eastAsia" w:ascii="Times New Roman"/>
        </w:rPr>
      </w:pPr>
      <w:r>
        <w:rPr>
          <w:rFonts w:ascii="Times New Roman"/>
        </w:rPr>
        <w:t>GB/T 36261</w:t>
      </w:r>
      <w:r>
        <w:rPr>
          <w:rFonts w:hint="eastAsia" w:ascii="Times New Roman"/>
          <w:lang w:val="en-US" w:eastAsia="zh-CN"/>
        </w:rPr>
        <w:t xml:space="preserve"> </w:t>
      </w:r>
      <w:r>
        <w:rPr>
          <w:rFonts w:hint="eastAsia" w:ascii="Times New Roman"/>
        </w:rPr>
        <w:t>建筑用节能玻璃光学及热工参数现场测量技术条件与计算方法</w:t>
      </w:r>
    </w:p>
    <w:p w14:paraId="62C05DB0">
      <w:pPr>
        <w:pStyle w:val="60"/>
        <w:spacing w:line="360" w:lineRule="auto"/>
        <w:ind w:firstLine="420"/>
        <w:rPr>
          <w:rFonts w:hint="eastAsia" w:ascii="Times New Roman"/>
        </w:rPr>
      </w:pPr>
      <w:r>
        <w:rPr>
          <w:rFonts w:hint="eastAsia" w:ascii="Times New Roman"/>
          <w:lang w:val="en-US" w:eastAsia="zh-CN"/>
        </w:rPr>
        <w:t xml:space="preserve">GB 55015 建筑节能与可再生能源利用通用规范 </w:t>
      </w:r>
    </w:p>
    <w:p w14:paraId="413D84D7">
      <w:pPr>
        <w:pStyle w:val="60"/>
        <w:spacing w:line="360" w:lineRule="auto"/>
        <w:ind w:firstLine="420"/>
        <w:rPr>
          <w:rFonts w:ascii="Times New Roman"/>
        </w:rPr>
      </w:pPr>
      <w:r>
        <w:rPr>
          <w:rFonts w:hint="eastAsia" w:ascii="Times New Roman"/>
        </w:rPr>
        <w:t>JGJ/T 151</w:t>
      </w:r>
      <w:r>
        <w:rPr>
          <w:rFonts w:hint="eastAsia" w:ascii="Times New Roman"/>
          <w:lang w:val="en-US" w:eastAsia="zh-CN"/>
        </w:rPr>
        <w:t xml:space="preserve"> </w:t>
      </w:r>
      <w:r>
        <w:rPr>
          <w:rFonts w:hint="eastAsia" w:ascii="Times New Roman"/>
        </w:rPr>
        <w:t>建筑门窗玻璃幕墙热工计算规程</w:t>
      </w:r>
    </w:p>
    <w:p w14:paraId="701DF755">
      <w:pPr>
        <w:pStyle w:val="108"/>
        <w:spacing w:before="312" w:after="312"/>
        <w:rPr>
          <w:rFonts w:ascii="Times New Roman"/>
        </w:rPr>
      </w:pPr>
      <w:bookmarkStart w:id="48" w:name="_Toc32551"/>
      <w:bookmarkStart w:id="49" w:name="_Toc61428354"/>
      <w:bookmarkStart w:id="50" w:name="_Toc31201"/>
      <w:r>
        <w:rPr>
          <w:rFonts w:hint="eastAsia" w:ascii="Times New Roman"/>
          <w:szCs w:val="21"/>
        </w:rPr>
        <w:t>术语和定义</w:t>
      </w:r>
      <w:bookmarkEnd w:id="48"/>
      <w:bookmarkEnd w:id="49"/>
      <w:bookmarkEnd w:id="50"/>
    </w:p>
    <w:sdt>
      <w:sdtPr>
        <w:rPr>
          <w:rFonts w:hint="eastAsia" w:ascii="Times New Roman"/>
        </w:rPr>
        <w:id w:val="-1909835108"/>
        <w:placeholder>
          <w:docPart w:val="0B0114E111AC4E3DB08F660BB720ECA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Times New Roman"/>
        </w:rPr>
      </w:sdtEndPr>
      <w:sdtContent>
        <w:p w14:paraId="48A65FCE">
          <w:pPr>
            <w:pStyle w:val="60"/>
            <w:spacing w:line="360" w:lineRule="auto"/>
            <w:ind w:firstLine="420"/>
            <w:rPr>
              <w:rFonts w:ascii="Times New Roman"/>
            </w:rPr>
          </w:pPr>
          <w:bookmarkStart w:id="51" w:name="_Toc26986532"/>
          <w:bookmarkEnd w:id="51"/>
          <w:r>
            <w:rPr>
              <w:rFonts w:hint="eastAsia" w:ascii="Times New Roman"/>
            </w:rPr>
            <w:t>GB/T 34327</w:t>
          </w:r>
          <w:r>
            <w:rPr>
              <w:rFonts w:hint="eastAsia" w:ascii="Times New Roman"/>
              <w:lang w:val="en-US" w:eastAsia="zh-CN"/>
            </w:rPr>
            <w:t>界定的以</w:t>
          </w:r>
          <w:r>
            <w:rPr>
              <w:rFonts w:hint="eastAsia" w:ascii="Times New Roman"/>
            </w:rPr>
            <w:t>及下列术语和定义适用于本文件。</w:t>
          </w:r>
        </w:p>
      </w:sdtContent>
    </w:sdt>
    <w:p w14:paraId="31B63947">
      <w:pPr>
        <w:pStyle w:val="227"/>
        <w:ind w:left="420" w:hanging="420" w:hangingChars="200"/>
        <w:rPr>
          <w:rFonts w:ascii="Times New Roman" w:eastAsia="黑体"/>
        </w:rPr>
      </w:pPr>
      <w:r>
        <w:rPr>
          <w:rFonts w:ascii="Times New Roman" w:eastAsia="黑体"/>
        </w:rPr>
        <w:br w:type="textWrapping"/>
      </w:r>
      <w:r>
        <w:rPr>
          <w:rFonts w:hint="eastAsia" w:ascii="Times New Roman" w:eastAsia="黑体"/>
        </w:rPr>
        <w:t>玻璃幕墙光热性能 optical and thermal performance of glass curtain walls</w:t>
      </w:r>
    </w:p>
    <w:p w14:paraId="43E252DB">
      <w:pPr>
        <w:pStyle w:val="60"/>
        <w:spacing w:line="360" w:lineRule="auto"/>
        <w:ind w:firstLine="420"/>
        <w:rPr>
          <w:rFonts w:hint="eastAsia" w:ascii="Times New Roman"/>
          <w:lang w:eastAsia="zh-CN"/>
        </w:rPr>
      </w:pPr>
      <w:r>
        <w:rPr>
          <w:rFonts w:hint="eastAsia" w:ascii="Times New Roman"/>
        </w:rPr>
        <w:t>与太阳辐射有关的玻璃幕墙光学及热工性能</w:t>
      </w:r>
      <w:r>
        <w:rPr>
          <w:rFonts w:hint="eastAsia" w:ascii="Times New Roman"/>
          <w:lang w:eastAsia="zh-CN"/>
        </w:rPr>
        <w:t>。</w:t>
      </w:r>
    </w:p>
    <w:p w14:paraId="36C031A9">
      <w:pPr>
        <w:pStyle w:val="60"/>
        <w:spacing w:line="360" w:lineRule="auto"/>
        <w:ind w:firstLine="420"/>
        <w:rPr>
          <w:rFonts w:ascii="Times New Roman"/>
          <w:sz w:val="18"/>
          <w:szCs w:val="18"/>
        </w:rPr>
      </w:pPr>
      <w:r>
        <w:rPr>
          <w:rFonts w:hint="eastAsia" w:ascii="Times New Roman"/>
          <w:sz w:val="18"/>
          <w:szCs w:val="18"/>
          <w:lang w:val="en-US" w:eastAsia="zh-CN"/>
        </w:rPr>
        <w:t>注：一般采用可见反射光比、</w:t>
      </w:r>
      <w:r>
        <w:rPr>
          <w:rFonts w:hint="eastAsia" w:ascii="Times New Roman"/>
          <w:sz w:val="18"/>
          <w:szCs w:val="18"/>
        </w:rPr>
        <w:t>可见光透射比、</w:t>
      </w:r>
      <w:r>
        <w:rPr>
          <w:rFonts w:hint="eastAsia" w:ascii="Times New Roman"/>
          <w:sz w:val="18"/>
          <w:szCs w:val="18"/>
          <w:lang w:val="en-US" w:eastAsia="zh-CN"/>
        </w:rPr>
        <w:t>太阳光直接反射比、</w:t>
      </w:r>
      <w:r>
        <w:rPr>
          <w:rFonts w:hint="eastAsia" w:ascii="Times New Roman"/>
          <w:sz w:val="18"/>
          <w:szCs w:val="18"/>
        </w:rPr>
        <w:t>太阳能总透射比、</w:t>
      </w:r>
      <w:r>
        <w:rPr>
          <w:rFonts w:hint="eastAsia" w:ascii="Times New Roman"/>
          <w:sz w:val="18"/>
          <w:szCs w:val="18"/>
          <w:lang w:val="en-US" w:eastAsia="zh-CN"/>
        </w:rPr>
        <w:t>太阳</w:t>
      </w:r>
      <w:r>
        <w:rPr>
          <w:rFonts w:hint="eastAsia" w:ascii="Times New Roman"/>
          <w:sz w:val="18"/>
          <w:szCs w:val="18"/>
        </w:rPr>
        <w:t>红外热能总透射比、玻璃光热比、色差及颜色透射指数等参数</w:t>
      </w:r>
      <w:r>
        <w:rPr>
          <w:rFonts w:hint="eastAsia" w:ascii="Times New Roman"/>
          <w:sz w:val="18"/>
          <w:szCs w:val="18"/>
          <w:lang w:val="en-US" w:eastAsia="zh-CN"/>
        </w:rPr>
        <w:t>表征</w:t>
      </w:r>
      <w:r>
        <w:rPr>
          <w:rFonts w:hint="eastAsia" w:ascii="Times New Roman"/>
          <w:sz w:val="18"/>
          <w:szCs w:val="18"/>
        </w:rPr>
        <w:t>。</w:t>
      </w:r>
    </w:p>
    <w:p w14:paraId="3822B621">
      <w:pPr>
        <w:pStyle w:val="227"/>
        <w:ind w:left="420" w:hanging="420" w:hangingChars="200"/>
        <w:outlineLvl w:val="1"/>
        <w:rPr>
          <w:rFonts w:ascii="Times New Roman" w:eastAsia="黑体"/>
        </w:rPr>
      </w:pPr>
      <w:r>
        <w:rPr>
          <w:rFonts w:ascii="Times New Roman" w:eastAsia="黑体"/>
        </w:rPr>
        <w:br w:type="textWrapping"/>
      </w:r>
      <w:r>
        <w:rPr>
          <w:rFonts w:hint="eastAsia" w:ascii="Times New Roman" w:eastAsia="黑体"/>
        </w:rPr>
        <w:t>紫外线透射比 UV-transmittance</w:t>
      </w:r>
    </w:p>
    <w:p w14:paraId="26B1E329">
      <w:pPr>
        <w:pStyle w:val="60"/>
        <w:ind w:firstLine="420"/>
        <w:rPr>
          <w:rFonts w:ascii="Times New Roman"/>
        </w:rPr>
      </w:pPr>
      <w:r>
        <w:rPr>
          <w:rFonts w:ascii="Times New Roman" w:eastAsia="黑体"/>
          <w:iCs/>
        </w:rPr>
        <w:t>τ</w:t>
      </w:r>
      <w:r>
        <w:rPr>
          <w:rFonts w:hint="eastAsia" w:ascii="Times New Roman" w:eastAsia="黑体"/>
          <w:iCs/>
          <w:vertAlign w:val="subscript"/>
        </w:rPr>
        <w:t>uv</w:t>
      </w:r>
    </w:p>
    <w:p w14:paraId="11646733">
      <w:pPr>
        <w:pStyle w:val="235"/>
        <w:spacing w:line="360" w:lineRule="auto"/>
        <w:ind w:firstLine="0" w:firstLineChars="0"/>
        <w:rPr>
          <w:rFonts w:ascii="Times New Roman"/>
        </w:rPr>
      </w:pPr>
      <w:r>
        <w:rPr>
          <w:rFonts w:hint="eastAsia" w:ascii="Times New Roman"/>
        </w:rPr>
        <w:t xml:space="preserve">    在紫外线光谱（300nm～380nm）范围内，透过的</w:t>
      </w:r>
      <w:r>
        <w:rPr>
          <w:rFonts w:hint="eastAsia"/>
          <w:color w:val="000000"/>
        </w:rPr>
        <w:t>辐射通量与入射的辐射通量</w:t>
      </w:r>
      <w:r>
        <w:rPr>
          <w:rFonts w:hint="eastAsia" w:ascii="Times New Roman"/>
        </w:rPr>
        <w:t>之比。</w:t>
      </w:r>
    </w:p>
    <w:p w14:paraId="1A69CBD0">
      <w:pPr>
        <w:pStyle w:val="227"/>
        <w:ind w:left="420" w:hanging="420" w:hangingChars="200"/>
        <w:rPr>
          <w:rFonts w:ascii="Times New Roman" w:eastAsia="黑体"/>
        </w:rPr>
      </w:pPr>
      <w:r>
        <w:rPr>
          <w:rFonts w:ascii="Times New Roman" w:eastAsia="黑体"/>
        </w:rPr>
        <w:br w:type="textWrapping"/>
      </w:r>
      <w:r>
        <w:rPr>
          <w:rFonts w:hint="eastAsia" w:ascii="Times New Roman" w:eastAsia="黑体"/>
        </w:rPr>
        <w:t>可见</w:t>
      </w:r>
      <w:r>
        <w:rPr>
          <w:rFonts w:hint="eastAsia" w:ascii="Times New Roman" w:eastAsia="黑体"/>
          <w:lang w:eastAsia="zh-CN"/>
        </w:rPr>
        <w:t>反射光</w:t>
      </w:r>
      <w:r>
        <w:rPr>
          <w:rFonts w:hint="eastAsia" w:ascii="Times New Roman" w:eastAsia="黑体"/>
        </w:rPr>
        <w:t>比  visible light reflectance</w:t>
      </w:r>
    </w:p>
    <w:p w14:paraId="39C5845E">
      <w:pPr>
        <w:pStyle w:val="60"/>
        <w:ind w:firstLine="420"/>
        <w:rPr>
          <w:rFonts w:ascii="Times New Roman"/>
        </w:rPr>
      </w:pPr>
      <w:r>
        <w:rPr>
          <w:rFonts w:hint="eastAsia" w:ascii="Times New Roman" w:eastAsia="黑体"/>
          <w:iCs/>
        </w:rPr>
        <w:t>ρ</w:t>
      </w:r>
    </w:p>
    <w:p w14:paraId="343C2B5E">
      <w:pPr>
        <w:pStyle w:val="235"/>
        <w:spacing w:line="360" w:lineRule="auto"/>
        <w:ind w:firstLineChars="0"/>
        <w:rPr>
          <w:rFonts w:hint="default" w:ascii="Times New Roman" w:eastAsia="宋体"/>
          <w:lang w:val="en-US" w:eastAsia="zh-CN"/>
        </w:rPr>
      </w:pPr>
      <w:r>
        <w:rPr>
          <w:rFonts w:hint="eastAsia" w:ascii="Times New Roman"/>
        </w:rPr>
        <w:t>在可见光谱（380nm～780nm）范围内，反射的光通量</w:t>
      </w:r>
      <w:r>
        <w:rPr>
          <w:rFonts w:hint="eastAsia" w:ascii="Times New Roman"/>
          <w:lang w:val="en-US" w:eastAsia="zh-CN"/>
        </w:rPr>
        <w:t>与</w:t>
      </w:r>
      <w:r>
        <w:rPr>
          <w:rFonts w:hint="eastAsia" w:ascii="Times New Roman"/>
        </w:rPr>
        <w:t>入射的光通量之比。</w:t>
      </w:r>
      <w:r>
        <w:rPr>
          <w:rFonts w:hint="eastAsia" w:ascii="Times New Roman"/>
          <w:lang w:val="en-US" w:eastAsia="zh-CN"/>
        </w:rPr>
        <w:t>本标准中均为室外侧的可见反射光比。</w:t>
      </w:r>
    </w:p>
    <w:p w14:paraId="53D7D80F">
      <w:pPr>
        <w:pStyle w:val="227"/>
        <w:ind w:left="420" w:hanging="420" w:hangingChars="200"/>
        <w:rPr>
          <w:rFonts w:ascii="Times New Roman" w:eastAsia="黑体"/>
        </w:rPr>
      </w:pPr>
      <w:r>
        <w:rPr>
          <w:rFonts w:ascii="Times New Roman" w:eastAsia="黑体"/>
        </w:rPr>
        <w:br w:type="textWrapping"/>
      </w:r>
      <w:bookmarkStart w:id="52" w:name="OLE_LINK9"/>
      <w:r>
        <w:rPr>
          <w:rFonts w:hint="eastAsia" w:ascii="Times New Roman" w:eastAsia="黑体"/>
        </w:rPr>
        <w:t>可见光透射比  visible light transmittance</w:t>
      </w:r>
    </w:p>
    <w:p w14:paraId="1A888AB2">
      <w:pPr>
        <w:pStyle w:val="60"/>
        <w:ind w:firstLine="420"/>
        <w:rPr>
          <w:rFonts w:ascii="Times New Roman"/>
        </w:rPr>
      </w:pPr>
      <w:r>
        <w:rPr>
          <w:rFonts w:ascii="Times New Roman" w:eastAsia="黑体"/>
          <w:iCs/>
        </w:rPr>
        <w:t>τ</w:t>
      </w:r>
    </w:p>
    <w:p w14:paraId="033DA0F0">
      <w:pPr>
        <w:pStyle w:val="235"/>
        <w:spacing w:line="360" w:lineRule="auto"/>
        <w:ind w:firstLine="0" w:firstLineChars="0"/>
        <w:rPr>
          <w:rFonts w:ascii="Times New Roman"/>
        </w:rPr>
      </w:pPr>
      <w:r>
        <w:rPr>
          <w:rFonts w:hint="eastAsia" w:ascii="Times New Roman"/>
        </w:rPr>
        <w:t xml:space="preserve">    在可见光谱（380nm～780nm）范围内，透过的光通量</w:t>
      </w:r>
      <w:r>
        <w:rPr>
          <w:rFonts w:hint="eastAsia" w:ascii="Times New Roman"/>
          <w:lang w:val="en-US" w:eastAsia="zh-CN"/>
        </w:rPr>
        <w:t>与</w:t>
      </w:r>
      <w:r>
        <w:rPr>
          <w:rFonts w:hint="eastAsia" w:ascii="Times New Roman"/>
        </w:rPr>
        <w:t>入射的光通量之比。</w:t>
      </w:r>
    </w:p>
    <w:bookmarkEnd w:id="52"/>
    <w:p w14:paraId="631726E9">
      <w:pPr>
        <w:pStyle w:val="227"/>
        <w:ind w:left="420" w:hanging="420" w:hangingChars="200"/>
        <w:rPr>
          <w:rFonts w:ascii="Times New Roman" w:eastAsia="黑体"/>
        </w:rPr>
      </w:pPr>
    </w:p>
    <w:p w14:paraId="0A3CB135">
      <w:pPr>
        <w:pStyle w:val="227"/>
        <w:numPr>
          <w:ilvl w:val="0"/>
          <w:numId w:val="0"/>
        </w:numPr>
        <w:ind w:left="420"/>
        <w:rPr>
          <w:rFonts w:ascii="Times New Roman" w:eastAsia="黑体"/>
        </w:rPr>
      </w:pPr>
      <w:r>
        <w:rPr>
          <w:rFonts w:hint="eastAsia" w:ascii="Times New Roman" w:eastAsia="黑体"/>
        </w:rPr>
        <w:t>太阳光直接反射比  solar direct reflectance</w:t>
      </w:r>
    </w:p>
    <w:p w14:paraId="5566FBB2">
      <w:pPr>
        <w:pStyle w:val="60"/>
        <w:ind w:firstLine="420"/>
        <w:rPr>
          <w:rFonts w:ascii="Times New Roman"/>
        </w:rPr>
      </w:pPr>
      <w:r>
        <w:rPr>
          <w:rFonts w:hint="eastAsia" w:ascii="Times New Roman" w:eastAsia="黑体"/>
          <w:iCs/>
        </w:rPr>
        <w:t>ρ</w:t>
      </w:r>
      <w:r>
        <w:rPr>
          <w:rFonts w:hint="eastAsia" w:ascii="Times New Roman"/>
          <w:vertAlign w:val="subscript"/>
        </w:rPr>
        <w:t>e</w:t>
      </w:r>
    </w:p>
    <w:p w14:paraId="6AD2B367">
      <w:pPr>
        <w:pStyle w:val="235"/>
        <w:spacing w:line="360" w:lineRule="auto"/>
        <w:ind w:firstLineChars="0"/>
        <w:rPr>
          <w:rFonts w:ascii="Times New Roman"/>
        </w:rPr>
      </w:pPr>
      <w:r>
        <w:rPr>
          <w:rFonts w:hint="eastAsia"/>
          <w:color w:val="000000"/>
        </w:rPr>
        <w:t>波长范围300nm～2500nm太阳辐射被被测物体反射的辐射通量与入射的辐射通量之比</w:t>
      </w:r>
      <w:r>
        <w:rPr>
          <w:rFonts w:hint="eastAsia" w:ascii="Times New Roman"/>
        </w:rPr>
        <w:t>。</w:t>
      </w:r>
    </w:p>
    <w:p w14:paraId="30396B28">
      <w:pPr>
        <w:pStyle w:val="227"/>
        <w:ind w:left="420" w:hanging="420" w:hangingChars="200"/>
        <w:rPr>
          <w:rFonts w:ascii="Times New Roman" w:eastAsia="黑体"/>
        </w:rPr>
      </w:pPr>
      <w:r>
        <w:rPr>
          <w:rFonts w:ascii="Times New Roman" w:eastAsia="黑体"/>
        </w:rPr>
        <w:br w:type="textWrapping"/>
      </w:r>
      <w:r>
        <w:rPr>
          <w:rFonts w:hint="eastAsia" w:ascii="Times New Roman" w:eastAsia="黑体"/>
        </w:rPr>
        <w:t>太阳光直接透射比  solar direct transmittance</w:t>
      </w:r>
    </w:p>
    <w:p w14:paraId="25D0B75F">
      <w:pPr>
        <w:pStyle w:val="60"/>
        <w:ind w:firstLine="420"/>
        <w:rPr>
          <w:rFonts w:ascii="Times New Roman"/>
        </w:rPr>
      </w:pPr>
      <w:r>
        <w:rPr>
          <w:rFonts w:ascii="Times New Roman" w:eastAsia="黑体"/>
          <w:iCs/>
        </w:rPr>
        <w:t>τ</w:t>
      </w:r>
      <w:r>
        <w:rPr>
          <w:rFonts w:hint="eastAsia" w:ascii="Times New Roman"/>
          <w:vertAlign w:val="subscript"/>
        </w:rPr>
        <w:t>e</w:t>
      </w:r>
    </w:p>
    <w:p w14:paraId="5317892F">
      <w:pPr>
        <w:pStyle w:val="235"/>
        <w:spacing w:line="360" w:lineRule="auto"/>
        <w:ind w:firstLine="0" w:firstLineChars="0"/>
        <w:rPr>
          <w:rFonts w:ascii="Times New Roman"/>
        </w:rPr>
      </w:pPr>
      <w:r>
        <w:rPr>
          <w:rFonts w:hint="eastAsia" w:ascii="Times New Roman"/>
        </w:rPr>
        <w:t xml:space="preserve">    </w:t>
      </w:r>
      <w:r>
        <w:rPr>
          <w:rFonts w:hint="eastAsia"/>
          <w:color w:val="000000"/>
        </w:rPr>
        <w:t>波长范围300nm～2500nm太阳辐射透过被测物体的辐射通量与入射的辐射通量之比。</w:t>
      </w:r>
    </w:p>
    <w:p w14:paraId="48F6A977">
      <w:pPr>
        <w:pStyle w:val="227"/>
        <w:ind w:left="420" w:hanging="420" w:hangingChars="200"/>
        <w:rPr>
          <w:rFonts w:ascii="Times New Roman" w:eastAsia="黑体"/>
        </w:rPr>
      </w:pPr>
      <w:r>
        <w:rPr>
          <w:rFonts w:ascii="Times New Roman" w:eastAsia="黑体"/>
        </w:rPr>
        <w:br w:type="textWrapping"/>
      </w:r>
      <w:bookmarkStart w:id="53" w:name="OLE_LINK12"/>
      <w:r>
        <w:rPr>
          <w:rFonts w:hint="eastAsia" w:ascii="Times New Roman" w:eastAsia="黑体"/>
        </w:rPr>
        <w:t>太阳能总透射比 total solar energy transmittance</w:t>
      </w:r>
    </w:p>
    <w:p w14:paraId="39D00875">
      <w:pPr>
        <w:pStyle w:val="60"/>
        <w:ind w:firstLine="420"/>
        <w:rPr>
          <w:rFonts w:ascii="Times New Roman"/>
          <w:i/>
        </w:rPr>
      </w:pPr>
      <w:r>
        <w:rPr>
          <w:rFonts w:hint="eastAsia" w:ascii="Times New Roman" w:eastAsia="黑体"/>
          <w:i/>
        </w:rPr>
        <w:t>g</w:t>
      </w:r>
    </w:p>
    <w:p w14:paraId="2915A22F">
      <w:pPr>
        <w:pStyle w:val="235"/>
        <w:spacing w:line="360" w:lineRule="auto"/>
        <w:ind w:firstLineChars="0"/>
        <w:rPr>
          <w:rFonts w:hint="eastAsia" w:ascii="Times New Roman"/>
        </w:rPr>
      </w:pPr>
      <w:r>
        <w:rPr>
          <w:rFonts w:hint="eastAsia" w:ascii="Times New Roman"/>
        </w:rPr>
        <w:t>太阳光直接透射比与被玻璃组件吸收的太阳辐射向室内的二次热传递系数之和，也称为太阳得热系数。</w:t>
      </w:r>
    </w:p>
    <w:bookmarkEnd w:id="53"/>
    <w:p w14:paraId="67D17BF4">
      <w:pPr>
        <w:pStyle w:val="227"/>
        <w:tabs>
          <w:tab w:val="center" w:pos="4201"/>
          <w:tab w:val="right" w:leader="dot" w:pos="9298"/>
        </w:tabs>
        <w:ind w:left="420" w:hanging="420" w:hangingChars="200"/>
        <w:rPr>
          <w:rFonts w:ascii="Times New Roman" w:eastAsia="黑体"/>
        </w:rPr>
      </w:pPr>
    </w:p>
    <w:p w14:paraId="6A8D20AC">
      <w:pPr>
        <w:pStyle w:val="235"/>
        <w:rPr>
          <w:rFonts w:ascii="Times New Roman" w:eastAsia="黑体"/>
        </w:rPr>
      </w:pPr>
      <w:r>
        <w:rPr>
          <w:rFonts w:hint="eastAsia" w:ascii="Times New Roman" w:eastAsia="黑体"/>
        </w:rPr>
        <w:t>太阳红外热能总透射比 total solar infrared heat transmittance</w:t>
      </w:r>
    </w:p>
    <w:p w14:paraId="432B48F1">
      <w:pPr>
        <w:pStyle w:val="235"/>
        <w:rPr>
          <w:rFonts w:ascii="Times New Roman" w:eastAsia="黑体"/>
        </w:rPr>
      </w:pPr>
      <w:r>
        <w:rPr>
          <w:rFonts w:hint="eastAsia" w:ascii="Times New Roman"/>
          <w:i/>
          <w:iCs/>
        </w:rPr>
        <w:t>g</w:t>
      </w:r>
      <w:r>
        <w:rPr>
          <w:rFonts w:hint="eastAsia" w:ascii="Times New Roman"/>
          <w:vertAlign w:val="subscript"/>
        </w:rPr>
        <w:t>IR</w:t>
      </w:r>
      <w:r>
        <w:rPr>
          <w:rFonts w:hint="eastAsia" w:ascii="Times New Roman" w:eastAsia="黑体"/>
        </w:rPr>
        <w:t xml:space="preserve"> </w:t>
      </w:r>
    </w:p>
    <w:p w14:paraId="6E9A12F3">
      <w:pPr>
        <w:pStyle w:val="235"/>
        <w:spacing w:line="360" w:lineRule="auto"/>
        <w:rPr>
          <w:rFonts w:ascii="Times New Roman"/>
        </w:rPr>
      </w:pPr>
      <w:r>
        <w:rPr>
          <w:rFonts w:hint="eastAsia" w:ascii="Times New Roman"/>
        </w:rPr>
        <w:t>在太阳光谱的近红外波段780nm</w:t>
      </w:r>
      <w:r>
        <w:rPr>
          <w:rFonts w:ascii="Times New Roman" w:cs="Arial"/>
        </w:rPr>
        <w:t>~</w:t>
      </w:r>
      <w:r>
        <w:rPr>
          <w:rFonts w:hint="eastAsia" w:ascii="Times New Roman"/>
        </w:rPr>
        <w:t>2500nm范围内，直接透过玻璃的太阳辐射强度和玻璃吸收太阳能经二次传热透过的部分之和与该波长范围入射太阳辐射强度的比值。</w:t>
      </w:r>
    </w:p>
    <w:p w14:paraId="27D5E678">
      <w:pPr>
        <w:pStyle w:val="227"/>
        <w:ind w:left="420" w:hanging="420" w:hangingChars="200"/>
        <w:rPr>
          <w:rFonts w:ascii="Times New Roman" w:eastAsia="黑体"/>
        </w:rPr>
      </w:pPr>
      <w:r>
        <w:rPr>
          <w:rFonts w:ascii="Times New Roman" w:eastAsia="黑体"/>
        </w:rPr>
        <w:br w:type="textWrapping"/>
      </w:r>
      <w:r>
        <w:rPr>
          <w:rFonts w:hint="eastAsia" w:ascii="Times New Roman" w:eastAsia="黑体"/>
        </w:rPr>
        <w:t>光热比  visible light to solar gain coefficient</w:t>
      </w:r>
    </w:p>
    <w:p w14:paraId="53F75C8A">
      <w:pPr>
        <w:pStyle w:val="60"/>
        <w:ind w:firstLine="420"/>
        <w:rPr>
          <w:rFonts w:hint="default" w:ascii="Times New Roman" w:eastAsia="黑体"/>
          <w:i/>
          <w:iCs/>
          <w:lang w:val="en-US" w:eastAsia="zh-CN"/>
        </w:rPr>
      </w:pPr>
      <w:r>
        <w:rPr>
          <w:rFonts w:hint="eastAsia" w:ascii="Times New Roman" w:eastAsia="黑体"/>
          <w:i/>
          <w:iCs/>
        </w:rPr>
        <w:t>r</w:t>
      </w:r>
    </w:p>
    <w:p w14:paraId="53A5F6E5">
      <w:pPr>
        <w:pStyle w:val="235"/>
        <w:spacing w:line="360" w:lineRule="auto"/>
        <w:rPr>
          <w:rFonts w:hint="eastAsia" w:ascii="Times New Roman"/>
        </w:rPr>
      </w:pPr>
      <w:r>
        <w:rPr>
          <w:rFonts w:hint="eastAsia" w:ascii="Times New Roman"/>
        </w:rPr>
        <w:t>可见光透射比与太阳能总透射比的比值。</w:t>
      </w:r>
    </w:p>
    <w:p w14:paraId="016CB1D2">
      <w:pPr>
        <w:pStyle w:val="235"/>
        <w:spacing w:line="360" w:lineRule="auto"/>
        <w:rPr>
          <w:rFonts w:hint="default" w:ascii="Times New Roman" w:eastAsia="宋体"/>
          <w:sz w:val="18"/>
          <w:szCs w:val="18"/>
          <w:lang w:val="en-US" w:eastAsia="zh-CN"/>
        </w:rPr>
      </w:pPr>
      <w:r>
        <w:rPr>
          <w:rFonts w:hint="eastAsia" w:ascii="Times New Roman"/>
          <w:sz w:val="18"/>
          <w:szCs w:val="18"/>
          <w:lang w:val="en-US" w:eastAsia="zh-CN"/>
        </w:rPr>
        <w:t>注：光热比的符号也可以用LSG表示。</w:t>
      </w:r>
    </w:p>
    <w:p w14:paraId="061A7B61">
      <w:pPr>
        <w:pStyle w:val="227"/>
        <w:ind w:left="420" w:hanging="420" w:hangingChars="200"/>
        <w:rPr>
          <w:rFonts w:ascii="Times New Roman" w:eastAsia="黑体"/>
        </w:rPr>
      </w:pPr>
      <w:r>
        <w:rPr>
          <w:rFonts w:ascii="Times New Roman" w:eastAsia="黑体"/>
        </w:rPr>
        <w:br w:type="textWrapping"/>
      </w:r>
      <w:r>
        <w:rPr>
          <w:rFonts w:hint="eastAsia" w:ascii="Times New Roman" w:eastAsia="黑体"/>
        </w:rPr>
        <w:t>颜色透射指数 transmitting colour rendering index</w:t>
      </w:r>
    </w:p>
    <w:p w14:paraId="40FBDFE0">
      <w:pPr>
        <w:pStyle w:val="60"/>
        <w:ind w:firstLine="420"/>
        <w:rPr>
          <w:rFonts w:ascii="Times New Roman"/>
        </w:rPr>
      </w:pPr>
      <w:r>
        <w:rPr>
          <w:rFonts w:hint="eastAsia" w:ascii="Times New Roman" w:eastAsia="黑体"/>
          <w:i/>
          <w:iCs/>
        </w:rPr>
        <w:t>R</w:t>
      </w:r>
      <w:r>
        <w:rPr>
          <w:rFonts w:hint="eastAsia" w:ascii="Times New Roman" w:eastAsia="黑体"/>
          <w:vertAlign w:val="subscript"/>
        </w:rPr>
        <w:t>a</w:t>
      </w:r>
      <w:r>
        <w:rPr>
          <w:rFonts w:hint="eastAsia" w:ascii="Times New Roman" w:eastAsia="黑体"/>
          <w:vertAlign w:val="superscript"/>
        </w:rPr>
        <w:t>T</w:t>
      </w:r>
    </w:p>
    <w:p w14:paraId="19C87197">
      <w:pPr>
        <w:pStyle w:val="235"/>
        <w:spacing w:line="360" w:lineRule="auto"/>
        <w:rPr>
          <w:rFonts w:ascii="Times New Roman"/>
        </w:rPr>
      </w:pPr>
      <w:r>
        <w:rPr>
          <w:rFonts w:hint="eastAsia" w:ascii="Times New Roman"/>
        </w:rPr>
        <w:t>太阳辐射透过玻璃后的一般显色指数。</w:t>
      </w:r>
    </w:p>
    <w:p w14:paraId="1BD1D8CE">
      <w:pPr>
        <w:pStyle w:val="235"/>
        <w:spacing w:line="360" w:lineRule="auto"/>
        <w:rPr>
          <w:rFonts w:ascii="Times New Roman"/>
        </w:rPr>
      </w:pPr>
      <w:r>
        <w:rPr>
          <w:rFonts w:hint="eastAsia" w:ascii="Times New Roman"/>
          <w:sz w:val="18"/>
          <w:szCs w:val="16"/>
        </w:rPr>
        <w:t>注：一般显色指</w:t>
      </w:r>
      <w:r>
        <w:rPr>
          <w:rFonts w:hint="eastAsia" w:ascii="Times New Roman"/>
          <w:szCs w:val="21"/>
        </w:rPr>
        <w:t>光源对国际照明委员会（</w:t>
      </w:r>
      <w:r>
        <w:rPr>
          <w:rFonts w:ascii="Times New Roman"/>
          <w:szCs w:val="21"/>
        </w:rPr>
        <w:t>CIE</w:t>
      </w:r>
      <w:r>
        <w:rPr>
          <w:rFonts w:hint="eastAsia" w:ascii="Times New Roman"/>
          <w:szCs w:val="21"/>
        </w:rPr>
        <w:t>）规定的</w:t>
      </w:r>
      <w:r>
        <w:rPr>
          <w:rFonts w:hint="eastAsia" w:ascii="Times New Roman"/>
          <w:bCs/>
          <w:szCs w:val="21"/>
        </w:rPr>
        <w:t>第</w:t>
      </w:r>
      <w:r>
        <w:rPr>
          <w:rFonts w:ascii="Times New Roman"/>
          <w:bCs/>
          <w:szCs w:val="21"/>
        </w:rPr>
        <w:t>1</w:t>
      </w:r>
      <w:r>
        <w:rPr>
          <w:rFonts w:hint="eastAsia" w:ascii="Times New Roman"/>
          <w:bCs/>
          <w:szCs w:val="21"/>
        </w:rPr>
        <w:t>～</w:t>
      </w:r>
      <w:r>
        <w:rPr>
          <w:rFonts w:ascii="Times New Roman"/>
          <w:bCs/>
          <w:szCs w:val="21"/>
        </w:rPr>
        <w:t>8</w:t>
      </w:r>
      <w:r>
        <w:rPr>
          <w:rFonts w:hint="eastAsia" w:ascii="Times New Roman"/>
          <w:szCs w:val="21"/>
        </w:rPr>
        <w:t>号标准颜色样品显色指数的平均值。</w:t>
      </w:r>
    </w:p>
    <w:p w14:paraId="39BA5FD5">
      <w:pPr>
        <w:pStyle w:val="235"/>
        <w:spacing w:line="360" w:lineRule="auto"/>
        <w:ind w:firstLine="360"/>
        <w:rPr>
          <w:rFonts w:ascii="Times New Roman"/>
          <w:sz w:val="18"/>
          <w:szCs w:val="16"/>
        </w:rPr>
      </w:pPr>
      <w:r>
        <w:rPr>
          <w:rFonts w:hint="eastAsia" w:ascii="Times New Roman"/>
          <w:sz w:val="18"/>
          <w:szCs w:val="16"/>
        </w:rPr>
        <w:t>数是指光源对国际照明委员会（</w:t>
      </w:r>
      <w:r>
        <w:rPr>
          <w:rFonts w:ascii="Times New Roman"/>
          <w:sz w:val="18"/>
          <w:szCs w:val="16"/>
        </w:rPr>
        <w:t>CIE</w:t>
      </w:r>
      <w:r>
        <w:rPr>
          <w:rFonts w:hint="eastAsia" w:ascii="Times New Roman"/>
          <w:sz w:val="18"/>
          <w:szCs w:val="16"/>
        </w:rPr>
        <w:t>）规定的第</w:t>
      </w:r>
      <w:r>
        <w:rPr>
          <w:rFonts w:ascii="Times New Roman"/>
          <w:sz w:val="18"/>
          <w:szCs w:val="16"/>
        </w:rPr>
        <w:t>1</w:t>
      </w:r>
      <w:r>
        <w:rPr>
          <w:rFonts w:hint="eastAsia" w:ascii="Times New Roman"/>
          <w:sz w:val="18"/>
          <w:szCs w:val="16"/>
        </w:rPr>
        <w:t>～</w:t>
      </w:r>
      <w:r>
        <w:rPr>
          <w:rFonts w:ascii="Times New Roman"/>
          <w:sz w:val="18"/>
          <w:szCs w:val="16"/>
        </w:rPr>
        <w:t>8</w:t>
      </w:r>
      <w:r>
        <w:rPr>
          <w:rFonts w:hint="eastAsia" w:ascii="Times New Roman"/>
          <w:sz w:val="18"/>
          <w:szCs w:val="16"/>
        </w:rPr>
        <w:t>号标准颜色样品显色指数的平均值。</w:t>
      </w:r>
    </w:p>
    <w:p w14:paraId="3DFB4E23">
      <w:pPr>
        <w:pStyle w:val="227"/>
        <w:ind w:left="420" w:hanging="420" w:hangingChars="200"/>
        <w:outlineLvl w:val="1"/>
        <w:rPr>
          <w:rFonts w:ascii="Times New Roman" w:eastAsia="黑体"/>
        </w:rPr>
      </w:pPr>
      <w:r>
        <w:rPr>
          <w:rFonts w:ascii="Times New Roman" w:eastAsia="黑体"/>
        </w:rPr>
        <w:br w:type="textWrapping"/>
      </w:r>
      <w:r>
        <w:rPr>
          <w:rFonts w:hint="eastAsia" w:ascii="Times New Roman" w:eastAsia="黑体"/>
        </w:rPr>
        <w:t>色差　colour difference</w:t>
      </w:r>
    </w:p>
    <w:p w14:paraId="6CF173CC">
      <w:pPr>
        <w:pStyle w:val="60"/>
        <w:ind w:firstLine="420"/>
        <w:rPr>
          <w:rFonts w:ascii="Times New Roman"/>
        </w:rPr>
      </w:pPr>
      <w:r>
        <w:rPr>
          <w:rFonts w:hint="eastAsia" w:ascii="Times New Roman" w:eastAsia="黑体"/>
          <w:iCs/>
        </w:rPr>
        <w:t>△E</w:t>
      </w:r>
    </w:p>
    <w:p w14:paraId="05F44635">
      <w:pPr>
        <w:pStyle w:val="235"/>
        <w:spacing w:line="360" w:lineRule="auto"/>
        <w:rPr>
          <w:rFonts w:ascii="Times New Roman"/>
        </w:rPr>
      </w:pPr>
      <w:r>
        <w:rPr>
          <w:rFonts w:hint="eastAsia" w:ascii="Times New Roman"/>
        </w:rPr>
        <w:t>以定量表示的两种不同颜色知觉差异，即</w:t>
      </w:r>
      <w:r>
        <w:rPr>
          <w:rFonts w:hint="eastAsia" w:ascii="Times New Roman"/>
          <w:szCs w:val="21"/>
        </w:rPr>
        <w:t>色调</w:t>
      </w:r>
      <w:r>
        <w:rPr>
          <w:rFonts w:hint="eastAsia" w:ascii="Times New Roman"/>
        </w:rPr>
        <w:t>、</w:t>
      </w:r>
      <w:r>
        <w:rPr>
          <w:rFonts w:hint="eastAsia" w:ascii="Times New Roman"/>
          <w:szCs w:val="21"/>
        </w:rPr>
        <w:t>明度</w:t>
      </w:r>
      <w:r>
        <w:rPr>
          <w:rFonts w:hint="eastAsia" w:ascii="Times New Roman"/>
        </w:rPr>
        <w:t>和</w:t>
      </w:r>
      <w:r>
        <w:rPr>
          <w:rFonts w:hint="eastAsia" w:ascii="Times New Roman"/>
          <w:szCs w:val="21"/>
        </w:rPr>
        <w:t>彩度</w:t>
      </w:r>
      <w:r>
        <w:rPr>
          <w:rFonts w:hint="eastAsia" w:ascii="Times New Roman"/>
        </w:rPr>
        <w:t>这三种</w:t>
      </w:r>
      <w:r>
        <w:rPr>
          <w:rFonts w:hint="eastAsia" w:ascii="Times New Roman"/>
          <w:szCs w:val="21"/>
        </w:rPr>
        <w:t>颜色</w:t>
      </w:r>
      <w:r>
        <w:rPr>
          <w:rFonts w:hint="eastAsia" w:ascii="Times New Roman"/>
        </w:rPr>
        <w:t>属性的综合差异。</w:t>
      </w:r>
    </w:p>
    <w:p w14:paraId="073624B7">
      <w:pPr>
        <w:pStyle w:val="227"/>
        <w:ind w:left="420" w:hanging="420" w:hangingChars="200"/>
        <w:outlineLvl w:val="1"/>
        <w:rPr>
          <w:rFonts w:ascii="Times New Roman" w:eastAsia="黑体"/>
        </w:rPr>
      </w:pPr>
      <w:r>
        <w:rPr>
          <w:rFonts w:ascii="Times New Roman" w:eastAsia="黑体"/>
        </w:rPr>
        <w:br w:type="textWrapping"/>
      </w:r>
      <w:r>
        <w:rPr>
          <w:rFonts w:hint="eastAsia" w:ascii="Times New Roman" w:eastAsia="黑体"/>
        </w:rPr>
        <w:t xml:space="preserve">镜面光泽度 specular gloss </w:t>
      </w:r>
    </w:p>
    <w:p w14:paraId="432B4291">
      <w:pPr>
        <w:pStyle w:val="235"/>
        <w:spacing w:line="360" w:lineRule="auto"/>
        <w:rPr>
          <w:rFonts w:ascii="Times New Roman"/>
        </w:rPr>
      </w:pPr>
      <w:r>
        <w:rPr>
          <w:rFonts w:hint="eastAsia" w:ascii="Times New Roman"/>
        </w:rPr>
        <w:t> 在规定的光源和接受几何条件下，从物体镜向方向的反射光通量与折射率为1.567的玻璃上镜向方向的反射光通量的比值。</w:t>
      </w:r>
    </w:p>
    <w:p w14:paraId="6DA59674">
      <w:pPr>
        <w:pStyle w:val="235"/>
        <w:spacing w:line="360" w:lineRule="auto"/>
        <w:ind w:firstLine="360"/>
        <w:rPr>
          <w:rFonts w:hint="eastAsia" w:ascii="Times New Roman"/>
          <w:sz w:val="18"/>
          <w:szCs w:val="16"/>
        </w:rPr>
      </w:pPr>
      <w:r>
        <w:rPr>
          <w:rFonts w:hint="eastAsia" w:ascii="Times New Roman"/>
          <w:sz w:val="18"/>
          <w:szCs w:val="16"/>
        </w:rPr>
        <w:t>注：以抛光完善的折射率为1.567黑玻璃作为基准板，在波长为587.6nm处的光泽度值为100GU。</w:t>
      </w:r>
    </w:p>
    <w:p w14:paraId="1BAEBE51">
      <w:pPr>
        <w:pStyle w:val="227"/>
        <w:spacing w:line="360" w:lineRule="auto"/>
        <w:ind w:left="420" w:hanging="420" w:hangingChars="200"/>
        <w:rPr>
          <w:rFonts w:hint="default" w:ascii="Times New Roman" w:eastAsia="黑体"/>
          <w:sz w:val="21"/>
          <w:szCs w:val="20"/>
          <w:lang w:val="en-US" w:eastAsia="zh-CN"/>
        </w:rPr>
      </w:pPr>
    </w:p>
    <w:p w14:paraId="1AA7FB7B">
      <w:pPr>
        <w:pStyle w:val="227"/>
        <w:numPr>
          <w:ilvl w:val="-1"/>
          <w:numId w:val="0"/>
        </w:numPr>
        <w:spacing w:line="360" w:lineRule="auto"/>
        <w:ind w:left="-420" w:leftChars="-200" w:firstLine="840" w:firstLineChars="400"/>
        <w:rPr>
          <w:rFonts w:hint="default" w:ascii="Times New Roman" w:eastAsia="黑体"/>
          <w:sz w:val="21"/>
          <w:szCs w:val="20"/>
          <w:lang w:val="en-US" w:eastAsia="zh-CN"/>
        </w:rPr>
      </w:pPr>
      <w:r>
        <w:rPr>
          <w:rFonts w:hint="default" w:ascii="Times New Roman" w:eastAsia="黑体"/>
          <w:sz w:val="21"/>
          <w:szCs w:val="20"/>
          <w:lang w:val="en-US" w:eastAsia="zh-CN"/>
        </w:rPr>
        <w:t>反射光聚光</w:t>
      </w:r>
      <w:r>
        <w:rPr>
          <w:rFonts w:hint="eastAsia"/>
          <w:lang w:val="en-US" w:eastAsia="zh-CN"/>
        </w:rPr>
        <w:t xml:space="preserve"> </w:t>
      </w:r>
      <w:r>
        <w:rPr>
          <w:rFonts w:hint="eastAsia" w:ascii="Times New Roman" w:eastAsia="黑体"/>
          <w:lang w:val="en-US" w:eastAsia="zh-CN"/>
        </w:rPr>
        <w:t>r</w:t>
      </w:r>
      <w:r>
        <w:rPr>
          <w:rFonts w:hint="eastAsia" w:ascii="Times New Roman" w:eastAsia="黑体"/>
        </w:rPr>
        <w:t>eflective concentrating</w:t>
      </w:r>
    </w:p>
    <w:p w14:paraId="059BBB83">
      <w:pPr>
        <w:pStyle w:val="235"/>
        <w:spacing w:line="360" w:lineRule="auto"/>
        <w:ind w:firstLine="0"/>
        <w:rPr>
          <w:rFonts w:hint="eastAsia" w:ascii="Times New Roman"/>
          <w:sz w:val="21"/>
          <w:szCs w:val="20"/>
          <w:lang w:val="en-US" w:eastAsia="zh-CN"/>
        </w:rPr>
      </w:pPr>
      <w:r>
        <w:rPr>
          <w:rFonts w:hint="eastAsia" w:ascii="Times New Roman"/>
          <w:sz w:val="21"/>
          <w:szCs w:val="20"/>
          <w:lang w:val="en-US" w:eastAsia="zh-CN"/>
        </w:rPr>
        <w:t>由于玻璃幕墙造型，使光线经过玻璃反射后</w:t>
      </w:r>
      <w:r>
        <w:rPr>
          <w:rFonts w:hint="eastAsia" w:ascii="Times New Roman" w:hAnsi="Times New Roman" w:eastAsia="宋体" w:cs="Times New Roman"/>
          <w:i w:val="0"/>
          <w:iCs w:val="0"/>
          <w:caps w:val="0"/>
          <w:spacing w:val="0"/>
          <w:sz w:val="21"/>
          <w:szCs w:val="20"/>
          <w:shd w:val="clear" w:fill="auto"/>
        </w:rPr>
        <w:t>向特定区域汇聚</w:t>
      </w:r>
      <w:r>
        <w:rPr>
          <w:rFonts w:hint="eastAsia" w:ascii="Times New Roman"/>
          <w:sz w:val="21"/>
          <w:szCs w:val="20"/>
          <w:lang w:val="en-US" w:eastAsia="zh-CN"/>
        </w:rPr>
        <w:t>的现象。</w:t>
      </w:r>
    </w:p>
    <w:p w14:paraId="0489E1EC">
      <w:pPr>
        <w:pStyle w:val="108"/>
        <w:spacing w:before="312" w:after="312"/>
        <w:rPr>
          <w:rFonts w:ascii="Times New Roman"/>
        </w:rPr>
      </w:pPr>
      <w:bookmarkStart w:id="54" w:name="_Toc9907"/>
      <w:bookmarkStart w:id="55" w:name="_Toc24829"/>
      <w:r>
        <w:rPr>
          <w:rFonts w:hint="eastAsia" w:ascii="Times New Roman"/>
        </w:rPr>
        <w:t>一般</w:t>
      </w:r>
      <w:bookmarkEnd w:id="54"/>
      <w:r>
        <w:rPr>
          <w:rFonts w:hint="eastAsia" w:ascii="Times New Roman"/>
          <w:lang w:val="en-US" w:eastAsia="zh-CN"/>
        </w:rPr>
        <w:t>规定</w:t>
      </w:r>
      <w:bookmarkEnd w:id="55"/>
    </w:p>
    <w:p w14:paraId="2F24FC6E">
      <w:pPr>
        <w:pStyle w:val="109"/>
        <w:spacing w:before="156" w:after="156" w:line="360" w:lineRule="auto"/>
        <w:rPr>
          <w:rFonts w:ascii="Times New Roman" w:eastAsia="宋体"/>
        </w:rPr>
      </w:pPr>
      <w:bookmarkStart w:id="56" w:name="_Toc28113"/>
      <w:bookmarkStart w:id="57" w:name="_Toc13631"/>
      <w:bookmarkStart w:id="58" w:name="_Toc87459561"/>
      <w:bookmarkStart w:id="59" w:name="_Toc490"/>
      <w:bookmarkStart w:id="60" w:name="_Toc1581"/>
      <w:r>
        <w:rPr>
          <w:rFonts w:hint="eastAsia" w:ascii="Times New Roman" w:eastAsia="宋体"/>
        </w:rPr>
        <w:t>幕墙</w:t>
      </w:r>
      <w:r>
        <w:rPr>
          <w:rFonts w:hint="eastAsia" w:ascii="Times New Roman" w:eastAsia="宋体"/>
          <w:lang w:val="en-US" w:eastAsia="zh-CN"/>
        </w:rPr>
        <w:t>用</w:t>
      </w:r>
      <w:r>
        <w:rPr>
          <w:rFonts w:hint="eastAsia" w:ascii="Times New Roman" w:eastAsia="宋体"/>
        </w:rPr>
        <w:t>玻璃产品应提供可见光透射比、可见</w:t>
      </w:r>
      <w:r>
        <w:rPr>
          <w:rFonts w:hint="eastAsia" w:ascii="Times New Roman" w:eastAsia="宋体"/>
          <w:lang w:eastAsia="zh-CN"/>
        </w:rPr>
        <w:t>反射光</w:t>
      </w:r>
      <w:r>
        <w:rPr>
          <w:rFonts w:hint="eastAsia" w:ascii="Times New Roman" w:eastAsia="宋体"/>
        </w:rPr>
        <w:t>比、太阳光直接透射比、太阳能总透射比、太阳红外热能总透射比及光热</w:t>
      </w:r>
      <w:r>
        <w:rPr>
          <w:rFonts w:hint="eastAsia" w:ascii="Times New Roman" w:eastAsia="宋体"/>
          <w:lang w:eastAsia="zh-CN"/>
        </w:rPr>
        <w:t>比</w:t>
      </w:r>
      <w:r>
        <w:rPr>
          <w:rFonts w:hint="eastAsia" w:ascii="Times New Roman" w:eastAsia="宋体"/>
          <w:lang w:val="en-US" w:eastAsia="zh-CN"/>
        </w:rPr>
        <w:t>等参数</w:t>
      </w:r>
      <w:r>
        <w:rPr>
          <w:rFonts w:hint="eastAsia" w:ascii="Times New Roman" w:eastAsia="宋体"/>
          <w:lang w:eastAsia="zh-CN"/>
        </w:rPr>
        <w:t>，常用幕墙玻璃的性能参数参见附录A</w:t>
      </w:r>
      <w:r>
        <w:rPr>
          <w:rFonts w:hint="eastAsia" w:ascii="Times New Roman" w:eastAsia="宋体"/>
          <w:lang w:val="en-US" w:eastAsia="zh-CN"/>
        </w:rPr>
        <w:t>，并符合下列规定：</w:t>
      </w:r>
      <w:bookmarkEnd w:id="56"/>
      <w:bookmarkEnd w:id="57"/>
    </w:p>
    <w:p w14:paraId="0C6471FC">
      <w:pPr>
        <w:pStyle w:val="60"/>
        <w:spacing w:line="360" w:lineRule="auto"/>
        <w:ind w:firstLine="420"/>
        <w:rPr>
          <w:rFonts w:hint="eastAsia" w:ascii="Times New Roman" w:eastAsia="宋体"/>
          <w:lang w:val="en-US" w:eastAsia="zh-CN"/>
        </w:rPr>
      </w:pPr>
      <w:r>
        <w:rPr>
          <w:rFonts w:hint="eastAsia" w:ascii="Times New Roman"/>
          <w:lang w:val="en-US" w:eastAsia="zh-CN"/>
        </w:rPr>
        <w:t>a)</w:t>
      </w:r>
      <w:r>
        <w:rPr>
          <w:rFonts w:hint="eastAsia" w:ascii="Times New Roman"/>
        </w:rPr>
        <w:t>用于采光部位的幕墙玻璃产品应提供颜色透射指数</w:t>
      </w:r>
      <w:r>
        <w:rPr>
          <w:rFonts w:hint="eastAsia" w:ascii="Times New Roman"/>
          <w:lang w:val="en-US" w:eastAsia="zh-CN"/>
        </w:rPr>
        <w:t>；</w:t>
      </w:r>
    </w:p>
    <w:p w14:paraId="0CEF073B">
      <w:pPr>
        <w:pStyle w:val="60"/>
        <w:spacing w:line="360" w:lineRule="auto"/>
        <w:ind w:firstLine="420"/>
        <w:rPr>
          <w:rFonts w:hint="eastAsia" w:ascii="Times New Roman"/>
          <w:lang w:val="en-US" w:eastAsia="zh-CN"/>
        </w:rPr>
      </w:pPr>
      <w:r>
        <w:rPr>
          <w:rFonts w:hint="eastAsia" w:ascii="Times New Roman"/>
          <w:lang w:val="en-US" w:eastAsia="zh-CN"/>
        </w:rPr>
        <w:t>b)</w:t>
      </w:r>
      <w:r>
        <w:rPr>
          <w:rFonts w:hint="eastAsia" w:ascii="Times New Roman"/>
        </w:rPr>
        <w:t>有聚</w:t>
      </w:r>
      <w:r>
        <w:rPr>
          <w:rFonts w:hint="eastAsia" w:ascii="Times New Roman"/>
          <w:lang w:val="en-US" w:eastAsia="zh-CN"/>
        </w:rPr>
        <w:t>光</w:t>
      </w:r>
      <w:r>
        <w:rPr>
          <w:rFonts w:hint="eastAsia" w:ascii="Times New Roman"/>
        </w:rPr>
        <w:t>风险的玻璃幕墙应</w:t>
      </w:r>
      <w:r>
        <w:rPr>
          <w:rFonts w:hint="eastAsia" w:ascii="Times New Roman"/>
          <w:lang w:val="en-US" w:eastAsia="zh-CN"/>
        </w:rPr>
        <w:t>提供</w:t>
      </w:r>
      <w:r>
        <w:rPr>
          <w:rFonts w:hint="eastAsia" w:ascii="Times New Roman"/>
        </w:rPr>
        <w:t>太阳光直接反射比</w:t>
      </w:r>
      <w:r>
        <w:rPr>
          <w:rFonts w:hint="eastAsia" w:ascii="Times New Roman"/>
          <w:lang w:eastAsia="zh-CN"/>
        </w:rPr>
        <w:t>；</w:t>
      </w:r>
    </w:p>
    <w:p w14:paraId="562559AC">
      <w:pPr>
        <w:pStyle w:val="60"/>
        <w:spacing w:line="360" w:lineRule="auto"/>
        <w:ind w:firstLine="420"/>
        <w:rPr>
          <w:rFonts w:hint="eastAsia" w:ascii="Times New Roman"/>
        </w:rPr>
      </w:pPr>
      <w:r>
        <w:rPr>
          <w:rFonts w:hint="eastAsia" w:ascii="Times New Roman"/>
          <w:lang w:val="en-US" w:eastAsia="zh-CN"/>
        </w:rPr>
        <w:t>c)</w:t>
      </w:r>
      <w:r>
        <w:rPr>
          <w:rFonts w:hint="eastAsia" w:ascii="Times New Roman"/>
        </w:rPr>
        <w:t>对紫外线有特殊要求的</w:t>
      </w:r>
      <w:r>
        <w:rPr>
          <w:rFonts w:hint="eastAsia" w:ascii="Times New Roman"/>
          <w:lang w:val="en-US" w:eastAsia="zh-CN"/>
        </w:rPr>
        <w:t>博物馆等</w:t>
      </w:r>
      <w:r>
        <w:rPr>
          <w:rFonts w:hint="eastAsia" w:ascii="Times New Roman"/>
        </w:rPr>
        <w:t>场所，使用的幕墙玻璃产品应提供紫外线透射比。</w:t>
      </w:r>
      <w:bookmarkEnd w:id="58"/>
      <w:bookmarkEnd w:id="59"/>
      <w:bookmarkEnd w:id="60"/>
    </w:p>
    <w:p w14:paraId="55441D4D">
      <w:pPr>
        <w:pStyle w:val="109"/>
        <w:spacing w:before="156" w:after="156" w:line="360" w:lineRule="auto"/>
        <w:rPr>
          <w:rFonts w:ascii="Times New Roman" w:eastAsia="宋体"/>
        </w:rPr>
      </w:pPr>
      <w:bookmarkStart w:id="61" w:name="_Toc29833"/>
      <w:bookmarkStart w:id="62" w:name="_Toc17839"/>
      <w:bookmarkStart w:id="63" w:name="_Toc87459562"/>
      <w:bookmarkStart w:id="64" w:name="_Toc87459564"/>
      <w:r>
        <w:rPr>
          <w:rFonts w:hint="eastAsia" w:ascii="Times New Roman" w:eastAsia="宋体"/>
        </w:rPr>
        <w:t>玻璃幕墙的设置宜符合下列规定：</w:t>
      </w:r>
      <w:bookmarkEnd w:id="61"/>
    </w:p>
    <w:p w14:paraId="35283D0B">
      <w:pPr>
        <w:pStyle w:val="60"/>
        <w:spacing w:line="360" w:lineRule="auto"/>
        <w:ind w:firstLine="420"/>
        <w:rPr>
          <w:rFonts w:ascii="Times New Roman"/>
        </w:rPr>
      </w:pPr>
      <w:r>
        <w:rPr>
          <w:rFonts w:hint="eastAsia" w:ascii="Times New Roman"/>
          <w:lang w:val="en-US" w:eastAsia="zh-CN"/>
        </w:rPr>
        <w:t>a</w:t>
      </w:r>
      <w:r>
        <w:rPr>
          <w:rFonts w:hint="eastAsia" w:ascii="Times New Roman"/>
        </w:rPr>
        <w:t>）宜采取减少玻璃幕墙面积、增加遮阳板或对建筑立面加以分隔等措施；</w:t>
      </w:r>
    </w:p>
    <w:p w14:paraId="2C0F5F85">
      <w:pPr>
        <w:pStyle w:val="60"/>
        <w:spacing w:line="360" w:lineRule="auto"/>
        <w:ind w:firstLine="420"/>
        <w:rPr>
          <w:rFonts w:hint="eastAsia" w:ascii="Times New Roman"/>
          <w:lang w:eastAsia="zh-CN"/>
        </w:rPr>
      </w:pPr>
      <w:r>
        <w:rPr>
          <w:rFonts w:hint="eastAsia" w:ascii="Times New Roman"/>
          <w:lang w:val="en-US" w:eastAsia="zh-CN"/>
        </w:rPr>
        <w:t>b</w:t>
      </w:r>
      <w:r>
        <w:rPr>
          <w:rFonts w:hint="eastAsia" w:ascii="Times New Roman"/>
        </w:rPr>
        <w:t>）反射光聚</w:t>
      </w:r>
      <w:r>
        <w:rPr>
          <w:rFonts w:hint="eastAsia" w:ascii="Times New Roman"/>
          <w:lang w:val="en-US" w:eastAsia="zh-CN"/>
        </w:rPr>
        <w:t>光</w:t>
      </w:r>
      <w:r>
        <w:rPr>
          <w:rFonts w:hint="eastAsia" w:ascii="Times New Roman"/>
        </w:rPr>
        <w:t>点</w:t>
      </w:r>
      <w:r>
        <w:rPr>
          <w:rFonts w:hint="eastAsia" w:ascii="Times New Roman"/>
          <w:lang w:val="en-US" w:eastAsia="zh-CN"/>
        </w:rPr>
        <w:t>位置</w:t>
      </w:r>
      <w:r>
        <w:rPr>
          <w:rFonts w:hint="eastAsia" w:ascii="Times New Roman"/>
        </w:rPr>
        <w:t>不应处于</w:t>
      </w:r>
      <w:r>
        <w:rPr>
          <w:rFonts w:hint="eastAsia" w:ascii="Times New Roman"/>
          <w:lang w:val="en-US" w:eastAsia="zh-CN"/>
        </w:rPr>
        <w:t>主要</w:t>
      </w:r>
      <w:r>
        <w:rPr>
          <w:rFonts w:hint="eastAsia" w:ascii="Times New Roman"/>
        </w:rPr>
        <w:t>道路区域</w:t>
      </w:r>
      <w:r>
        <w:rPr>
          <w:rFonts w:hint="eastAsia" w:ascii="Times New Roman"/>
          <w:lang w:eastAsia="zh-CN"/>
        </w:rPr>
        <w:t>；</w:t>
      </w:r>
    </w:p>
    <w:p w14:paraId="601D4DD6">
      <w:pPr>
        <w:pStyle w:val="60"/>
        <w:spacing w:line="360" w:lineRule="auto"/>
        <w:ind w:firstLine="420"/>
        <w:rPr>
          <w:rFonts w:hint="default" w:ascii="Times New Roman"/>
          <w:lang w:val="en-US" w:eastAsia="zh-CN"/>
        </w:rPr>
      </w:pPr>
      <w:r>
        <w:rPr>
          <w:rFonts w:hint="eastAsia" w:ascii="Times New Roman"/>
          <w:lang w:val="en-US" w:eastAsia="zh-CN"/>
        </w:rPr>
        <w:t>c）反射光聚光点位置不应设置易燃易爆设施。</w:t>
      </w:r>
    </w:p>
    <w:p w14:paraId="070D23DA">
      <w:pPr>
        <w:pStyle w:val="109"/>
        <w:spacing w:before="156" w:after="156" w:line="360" w:lineRule="auto"/>
        <w:rPr>
          <w:rFonts w:ascii="Times New Roman" w:eastAsia="宋体"/>
        </w:rPr>
      </w:pPr>
      <w:bookmarkStart w:id="65" w:name="_Toc15798"/>
      <w:r>
        <w:rPr>
          <w:rFonts w:hint="eastAsia" w:ascii="Times New Roman" w:eastAsia="宋体"/>
        </w:rPr>
        <w:t>玻璃幕墙</w:t>
      </w:r>
      <w:r>
        <w:rPr>
          <w:rFonts w:hint="eastAsia" w:ascii="Times New Roman" w:eastAsia="宋体"/>
          <w:lang w:val="en-US" w:eastAsia="zh-CN"/>
        </w:rPr>
        <w:t>反射光应符合下列规定：</w:t>
      </w:r>
      <w:bookmarkEnd w:id="62"/>
      <w:bookmarkEnd w:id="65"/>
      <w:bookmarkStart w:id="66" w:name="_Toc27269"/>
      <w:bookmarkStart w:id="67" w:name="_Toc8995"/>
    </w:p>
    <w:p w14:paraId="35E0893D">
      <w:pPr>
        <w:pStyle w:val="60"/>
        <w:spacing w:line="360" w:lineRule="auto"/>
        <w:ind w:firstLine="420"/>
        <w:rPr>
          <w:rFonts w:hint="eastAsia" w:ascii="Times New Roman"/>
        </w:rPr>
      </w:pPr>
      <w:r>
        <w:rPr>
          <w:rFonts w:hint="eastAsia" w:ascii="Times New Roman"/>
          <w:lang w:val="en-US" w:eastAsia="zh-CN"/>
        </w:rPr>
        <w:t>a)</w:t>
      </w:r>
      <w:r>
        <w:rPr>
          <w:rFonts w:hint="eastAsia" w:ascii="Times New Roman"/>
        </w:rPr>
        <w:t>在与水平面夹角</w:t>
      </w:r>
      <w:r>
        <w:rPr>
          <w:rFonts w:hint="eastAsia" w:ascii="Times New Roman"/>
          <w:lang w:val="en-US" w:eastAsia="zh-CN"/>
        </w:rPr>
        <w:t>-60</w:t>
      </w:r>
      <w:r>
        <w:rPr>
          <w:rFonts w:hint="eastAsia" w:ascii="Times New Roman"/>
        </w:rPr>
        <w:t>°～45°的范围内</w:t>
      </w:r>
      <w:r>
        <w:rPr>
          <w:rFonts w:hint="eastAsia" w:ascii="Times New Roman"/>
          <w:lang w:eastAsia="zh-CN"/>
        </w:rPr>
        <w:t>（</w:t>
      </w:r>
      <w:r>
        <w:rPr>
          <w:rFonts w:hint="eastAsia" w:ascii="Times New Roman"/>
          <w:lang w:val="en-US" w:eastAsia="zh-CN"/>
        </w:rPr>
        <w:t>见图1</w:t>
      </w:r>
      <w:r>
        <w:rPr>
          <w:rFonts w:hint="eastAsia" w:ascii="Times New Roman"/>
          <w:lang w:eastAsia="zh-CN"/>
        </w:rPr>
        <w:t>）</w:t>
      </w:r>
      <w:r>
        <w:rPr>
          <w:rFonts w:hint="eastAsia" w:ascii="Times New Roman"/>
        </w:rPr>
        <w:t>，玻璃幕墙反射光照射在</w:t>
      </w:r>
      <w:r>
        <w:rPr>
          <w:rFonts w:hint="eastAsia" w:ascii="Times New Roman"/>
          <w:lang w:val="en-US" w:eastAsia="zh-CN"/>
        </w:rPr>
        <w:t>敏感建筑</w:t>
      </w:r>
      <w:r>
        <w:rPr>
          <w:rFonts w:hint="eastAsia" w:ascii="Times New Roman"/>
        </w:rPr>
        <w:t>窗台面的连续滞留时间不应超过30min。</w:t>
      </w:r>
      <w:bookmarkEnd w:id="66"/>
      <w:bookmarkEnd w:id="67"/>
    </w:p>
    <w:p w14:paraId="4D4F6C7E">
      <w:pPr>
        <w:pStyle w:val="60"/>
        <w:spacing w:line="360" w:lineRule="auto"/>
        <w:ind w:firstLine="420"/>
        <w:jc w:val="center"/>
        <w:rPr>
          <w:rFonts w:hint="eastAsia" w:ascii="Times New Roman" w:eastAsia="宋体"/>
          <w:lang w:eastAsia="zh-CN"/>
        </w:rPr>
      </w:pPr>
      <w:r>
        <w:rPr>
          <w:rFonts w:hint="eastAsia" w:ascii="Times New Roman" w:eastAsia="宋体"/>
          <w:lang w:eastAsia="zh-CN"/>
        </w:rPr>
        <w:drawing>
          <wp:inline distT="0" distB="0" distL="114300" distR="114300">
            <wp:extent cx="4050665" cy="3382645"/>
            <wp:effectExtent l="0" t="0" r="6985" b="8255"/>
            <wp:docPr id="3" name="图片 3" descr="3e5e99cd47e99858e95e5073aaea6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e5e99cd47e99858e95e5073aaea61e"/>
                    <pic:cNvPicPr>
                      <a:picLocks noChangeAspect="1"/>
                    </pic:cNvPicPr>
                  </pic:nvPicPr>
                  <pic:blipFill>
                    <a:blip r:embed="rId40"/>
                    <a:srcRect t="2305"/>
                    <a:stretch>
                      <a:fillRect/>
                    </a:stretch>
                  </pic:blipFill>
                  <pic:spPr>
                    <a:xfrm>
                      <a:off x="0" y="0"/>
                      <a:ext cx="4050665" cy="3382645"/>
                    </a:xfrm>
                    <a:prstGeom prst="rect">
                      <a:avLst/>
                    </a:prstGeom>
                  </pic:spPr>
                </pic:pic>
              </a:graphicData>
            </a:graphic>
          </wp:inline>
        </w:drawing>
      </w:r>
    </w:p>
    <w:p w14:paraId="1AFB9D88">
      <w:pPr>
        <w:pStyle w:val="60"/>
        <w:spacing w:line="360" w:lineRule="auto"/>
        <w:ind w:firstLine="420"/>
        <w:jc w:val="center"/>
        <w:rPr>
          <w:rFonts w:hint="default" w:ascii="Times New Roman" w:eastAsia="宋体"/>
          <w:lang w:val="en-US" w:eastAsia="zh-CN"/>
        </w:rPr>
      </w:pPr>
      <w:r>
        <w:rPr>
          <w:rFonts w:hint="eastAsia" w:ascii="Times New Roman"/>
          <w:lang w:val="en-US" w:eastAsia="zh-CN"/>
        </w:rPr>
        <w:t>图1 玻璃幕墙反射光对敏感建筑影响示意图</w:t>
      </w:r>
    </w:p>
    <w:p w14:paraId="4E6017A4">
      <w:pPr>
        <w:pStyle w:val="60"/>
        <w:spacing w:line="360" w:lineRule="auto"/>
        <w:ind w:firstLine="420"/>
        <w:rPr>
          <w:rFonts w:hint="eastAsia" w:ascii="Times New Roman"/>
        </w:rPr>
      </w:pPr>
      <w:bookmarkStart w:id="68" w:name="_Toc18568"/>
      <w:bookmarkStart w:id="69" w:name="_Toc21197"/>
      <w:r>
        <w:rPr>
          <w:rFonts w:hint="eastAsia" w:ascii="Times New Roman"/>
          <w:lang w:val="en-US" w:eastAsia="zh-CN"/>
        </w:rPr>
        <w:t>b)</w:t>
      </w:r>
      <w:r>
        <w:rPr>
          <w:rFonts w:hint="eastAsia" w:ascii="Times New Roman"/>
        </w:rPr>
        <w:t>在驾驶员前进方向垂直角20°，水平角±30°内</w:t>
      </w:r>
      <w:r>
        <w:rPr>
          <w:rFonts w:hint="eastAsia" w:ascii="Times New Roman"/>
          <w:lang w:eastAsia="zh-CN"/>
        </w:rPr>
        <w:t>（</w:t>
      </w:r>
      <w:r>
        <w:rPr>
          <w:rFonts w:hint="eastAsia" w:ascii="Times New Roman"/>
          <w:lang w:val="en-US" w:eastAsia="zh-CN"/>
        </w:rPr>
        <w:t>见图2</w:t>
      </w:r>
      <w:r>
        <w:rPr>
          <w:rFonts w:hint="eastAsia" w:ascii="Times New Roman"/>
          <w:lang w:eastAsia="zh-CN"/>
        </w:rPr>
        <w:t>）</w:t>
      </w:r>
      <w:r>
        <w:rPr>
          <w:rFonts w:hint="eastAsia" w:ascii="Times New Roman"/>
        </w:rPr>
        <w:t>，行车距离100m内，玻璃幕墙对机动车驾驶员不应</w:t>
      </w:r>
      <w:r>
        <w:rPr>
          <w:rFonts w:hint="eastAsia" w:ascii="Times New Roman"/>
          <w:lang w:val="en-US" w:eastAsia="zh-CN"/>
        </w:rPr>
        <w:t>有</w:t>
      </w:r>
      <w:r>
        <w:rPr>
          <w:rFonts w:hint="eastAsia" w:ascii="Times New Roman"/>
        </w:rPr>
        <w:t>连续</w:t>
      </w:r>
      <w:r>
        <w:rPr>
          <w:rFonts w:hint="eastAsia" w:ascii="Times New Roman"/>
          <w:lang w:val="en-US" w:eastAsia="zh-CN"/>
        </w:rPr>
        <w:t>的</w:t>
      </w:r>
      <w:r>
        <w:rPr>
          <w:rFonts w:hint="eastAsia" w:ascii="Times New Roman"/>
        </w:rPr>
        <w:t>反射光。</w:t>
      </w:r>
      <w:bookmarkEnd w:id="68"/>
      <w:bookmarkEnd w:id="69"/>
    </w:p>
    <w:tbl>
      <w:tblPr>
        <w:tblStyle w:val="3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64"/>
        <w:gridCol w:w="4506"/>
      </w:tblGrid>
      <w:tr w14:paraId="2A06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85" w:type="dxa"/>
            <w:tcBorders>
              <w:tl2br w:val="nil"/>
              <w:tr2bl w:val="nil"/>
            </w:tcBorders>
            <w:vAlign w:val="center"/>
          </w:tcPr>
          <w:p w14:paraId="5C776EDB">
            <w:pPr>
              <w:pStyle w:val="60"/>
              <w:spacing w:line="360" w:lineRule="auto"/>
              <w:jc w:val="center"/>
              <w:rPr>
                <w:rFonts w:hint="eastAsia" w:ascii="Times New Roman" w:eastAsia="宋体"/>
                <w:vertAlign w:val="baseline"/>
                <w:lang w:eastAsia="zh-CN"/>
              </w:rPr>
            </w:pPr>
            <w:r>
              <w:rPr>
                <w:rFonts w:hint="eastAsia" w:ascii="Times New Roman" w:eastAsia="宋体"/>
                <w:vertAlign w:val="baseline"/>
                <w:lang w:eastAsia="zh-CN"/>
              </w:rPr>
              <w:drawing>
                <wp:inline distT="0" distB="0" distL="114300" distR="114300">
                  <wp:extent cx="2895600" cy="2023745"/>
                  <wp:effectExtent l="0" t="0" r="0" b="5080"/>
                  <wp:docPr id="7" name="图片 7" descr="b3e0f3c034c9ec434018a503f88eb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3e0f3c034c9ec434018a503f88eb7d"/>
                          <pic:cNvPicPr>
                            <a:picLocks noChangeAspect="1"/>
                          </pic:cNvPicPr>
                        </pic:nvPicPr>
                        <pic:blipFill>
                          <a:blip r:embed="rId41"/>
                          <a:stretch>
                            <a:fillRect/>
                          </a:stretch>
                        </pic:blipFill>
                        <pic:spPr>
                          <a:xfrm>
                            <a:off x="0" y="0"/>
                            <a:ext cx="2895600" cy="2023745"/>
                          </a:xfrm>
                          <a:prstGeom prst="rect">
                            <a:avLst/>
                          </a:prstGeom>
                        </pic:spPr>
                      </pic:pic>
                    </a:graphicData>
                  </a:graphic>
                </wp:inline>
              </w:drawing>
            </w:r>
          </w:p>
        </w:tc>
        <w:tc>
          <w:tcPr>
            <w:tcW w:w="4785" w:type="dxa"/>
            <w:tcBorders>
              <w:tl2br w:val="nil"/>
              <w:tr2bl w:val="nil"/>
            </w:tcBorders>
            <w:vAlign w:val="center"/>
          </w:tcPr>
          <w:p w14:paraId="53F55C5D">
            <w:pPr>
              <w:pStyle w:val="60"/>
              <w:spacing w:line="240" w:lineRule="auto"/>
              <w:jc w:val="center"/>
              <w:rPr>
                <w:rFonts w:hint="eastAsia" w:ascii="Times New Roman" w:eastAsia="宋体"/>
                <w:vertAlign w:val="baseline"/>
                <w:lang w:eastAsia="zh-CN"/>
              </w:rPr>
            </w:pPr>
            <w:r>
              <w:rPr>
                <w:rFonts w:hint="eastAsia" w:ascii="Times New Roman" w:eastAsia="宋体"/>
                <w:vertAlign w:val="baseline"/>
                <w:lang w:eastAsia="zh-CN"/>
              </w:rPr>
              <w:drawing>
                <wp:inline distT="0" distB="0" distL="114300" distR="114300">
                  <wp:extent cx="2531745" cy="1345565"/>
                  <wp:effectExtent l="0" t="0" r="0" b="0"/>
                  <wp:docPr id="8" name="图片 8" descr="8b743be06452a011a974c62d5d8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b743be06452a011a974c62d5d87938"/>
                          <pic:cNvPicPr>
                            <a:picLocks noChangeAspect="1"/>
                          </pic:cNvPicPr>
                        </pic:nvPicPr>
                        <pic:blipFill>
                          <a:blip r:embed="rId42"/>
                          <a:srcRect l="3835"/>
                          <a:stretch>
                            <a:fillRect/>
                          </a:stretch>
                        </pic:blipFill>
                        <pic:spPr>
                          <a:xfrm>
                            <a:off x="0" y="0"/>
                            <a:ext cx="2531745" cy="1345565"/>
                          </a:xfrm>
                          <a:prstGeom prst="rect">
                            <a:avLst/>
                          </a:prstGeom>
                        </pic:spPr>
                      </pic:pic>
                    </a:graphicData>
                  </a:graphic>
                </wp:inline>
              </w:drawing>
            </w:r>
          </w:p>
        </w:tc>
      </w:tr>
      <w:tr w14:paraId="425EA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85" w:type="dxa"/>
            <w:tcBorders>
              <w:tl2br w:val="nil"/>
              <w:tr2bl w:val="nil"/>
            </w:tcBorders>
            <w:vAlign w:val="center"/>
          </w:tcPr>
          <w:p w14:paraId="3AD3B740">
            <w:pPr>
              <w:pStyle w:val="60"/>
              <w:numPr>
                <w:ilvl w:val="0"/>
                <w:numId w:val="33"/>
              </w:numPr>
              <w:spacing w:line="360" w:lineRule="auto"/>
              <w:jc w:val="center"/>
              <w:rPr>
                <w:rFonts w:hint="default" w:ascii="Times New Roman" w:eastAsia="宋体"/>
                <w:vertAlign w:val="baseline"/>
                <w:lang w:val="en-US" w:eastAsia="zh-CN"/>
              </w:rPr>
            </w:pPr>
            <w:r>
              <w:rPr>
                <w:rFonts w:hint="eastAsia" w:ascii="Times New Roman"/>
                <w:vertAlign w:val="baseline"/>
                <w:lang w:val="en-US" w:eastAsia="zh-CN"/>
              </w:rPr>
              <w:t>俯视图</w:t>
            </w:r>
          </w:p>
        </w:tc>
        <w:tc>
          <w:tcPr>
            <w:tcW w:w="4785" w:type="dxa"/>
            <w:tcBorders>
              <w:tl2br w:val="nil"/>
              <w:tr2bl w:val="nil"/>
            </w:tcBorders>
            <w:vAlign w:val="center"/>
          </w:tcPr>
          <w:p w14:paraId="6D3A1453">
            <w:pPr>
              <w:pStyle w:val="60"/>
              <w:spacing w:line="360" w:lineRule="auto"/>
              <w:jc w:val="center"/>
              <w:rPr>
                <w:rFonts w:hint="eastAsia" w:ascii="Times New Roman" w:eastAsia="宋体"/>
                <w:vertAlign w:val="baseline"/>
                <w:lang w:val="en-US" w:eastAsia="zh-CN"/>
              </w:rPr>
            </w:pPr>
            <w:r>
              <w:rPr>
                <w:rFonts w:hint="eastAsia" w:ascii="Times New Roman"/>
                <w:vertAlign w:val="baseline"/>
                <w:lang w:val="en-US" w:eastAsia="zh-CN"/>
              </w:rPr>
              <w:t>b)侧视图</w:t>
            </w:r>
          </w:p>
        </w:tc>
      </w:tr>
    </w:tbl>
    <w:p w14:paraId="12639B89">
      <w:pPr>
        <w:pStyle w:val="60"/>
        <w:spacing w:line="360" w:lineRule="auto"/>
        <w:ind w:firstLine="420"/>
        <w:jc w:val="center"/>
        <w:rPr>
          <w:rFonts w:hint="default" w:ascii="Times New Roman" w:eastAsia="宋体"/>
          <w:lang w:val="en-US" w:eastAsia="zh-CN"/>
        </w:rPr>
      </w:pPr>
      <w:r>
        <w:rPr>
          <w:rFonts w:hint="eastAsia" w:ascii="Times New Roman"/>
          <w:lang w:val="en-US" w:eastAsia="zh-CN"/>
        </w:rPr>
        <w:t>图2 玻璃幕墙反射光对驾驶员影响示意图</w:t>
      </w:r>
    </w:p>
    <w:p w14:paraId="23155309">
      <w:pPr>
        <w:pStyle w:val="60"/>
        <w:spacing w:line="360" w:lineRule="auto"/>
        <w:ind w:firstLine="420"/>
        <w:rPr>
          <w:rFonts w:hint="eastAsia" w:ascii="Times New Roman"/>
        </w:rPr>
      </w:pPr>
      <w:bookmarkStart w:id="70" w:name="_Toc31179"/>
      <w:bookmarkStart w:id="71" w:name="_Toc25035"/>
      <w:r>
        <w:rPr>
          <w:rFonts w:hint="eastAsia" w:ascii="Times New Roman"/>
          <w:lang w:val="en-US" w:eastAsia="zh-CN"/>
        </w:rPr>
        <w:t>c)</w:t>
      </w:r>
      <w:r>
        <w:rPr>
          <w:rFonts w:hint="eastAsia" w:ascii="Times New Roman"/>
        </w:rPr>
        <w:t>反射光形成的</w:t>
      </w:r>
      <w:r>
        <w:rPr>
          <w:rFonts w:hint="eastAsia" w:ascii="Times New Roman"/>
          <w:lang w:val="en-US" w:eastAsia="zh-CN"/>
        </w:rPr>
        <w:t>聚光</w:t>
      </w:r>
      <w:r>
        <w:rPr>
          <w:rFonts w:hint="eastAsia" w:ascii="Times New Roman"/>
        </w:rPr>
        <w:t>点热辐射值不应超过1</w:t>
      </w:r>
      <w:r>
        <w:rPr>
          <w:rFonts w:hint="eastAsia" w:ascii="Times New Roman"/>
          <w:lang w:val="en-US" w:eastAsia="zh-CN"/>
        </w:rPr>
        <w:t>5</w:t>
      </w:r>
      <w:r>
        <w:rPr>
          <w:rFonts w:hint="eastAsia" w:ascii="Times New Roman"/>
        </w:rPr>
        <w:t>00 W/m</w:t>
      </w:r>
      <w:r>
        <w:rPr>
          <w:rFonts w:hint="eastAsia" w:ascii="Times New Roman"/>
          <w:vertAlign w:val="superscript"/>
        </w:rPr>
        <w:t>2</w:t>
      </w:r>
      <w:r>
        <w:rPr>
          <w:rFonts w:hint="eastAsia" w:ascii="Times New Roman"/>
        </w:rPr>
        <w:t>且连续滞留时间不应超过30min。</w:t>
      </w:r>
      <w:bookmarkEnd w:id="70"/>
      <w:bookmarkEnd w:id="71"/>
    </w:p>
    <w:p w14:paraId="4441F586">
      <w:pPr>
        <w:pStyle w:val="108"/>
        <w:spacing w:before="312" w:after="312"/>
        <w:rPr>
          <w:rFonts w:ascii="Times New Roman"/>
        </w:rPr>
      </w:pPr>
      <w:bookmarkStart w:id="72" w:name="_Toc4960"/>
      <w:bookmarkStart w:id="73" w:name="_Toc18992"/>
      <w:bookmarkStart w:id="74" w:name="_Toc31298"/>
      <w:bookmarkStart w:id="75" w:name="_Toc23399"/>
      <w:r>
        <w:rPr>
          <w:rFonts w:hint="eastAsia" w:ascii="Times New Roman" w:eastAsia="黑体"/>
          <w:lang w:val="en-US" w:eastAsia="zh-CN"/>
        </w:rPr>
        <w:t>性能</w:t>
      </w:r>
      <w:bookmarkEnd w:id="63"/>
      <w:bookmarkEnd w:id="64"/>
      <w:bookmarkEnd w:id="72"/>
      <w:bookmarkEnd w:id="73"/>
      <w:bookmarkEnd w:id="74"/>
      <w:bookmarkStart w:id="76" w:name="_Toc14119"/>
      <w:r>
        <w:rPr>
          <w:rFonts w:hint="eastAsia" w:ascii="Times New Roman"/>
          <w:lang w:val="en-US" w:eastAsia="zh-CN"/>
        </w:rPr>
        <w:t>要求</w:t>
      </w:r>
      <w:bookmarkEnd w:id="75"/>
      <w:bookmarkEnd w:id="76"/>
    </w:p>
    <w:p w14:paraId="1FF05601">
      <w:pPr>
        <w:pStyle w:val="109"/>
        <w:spacing w:before="156" w:after="156"/>
        <w:rPr>
          <w:rFonts w:hint="eastAsia" w:ascii="Times New Roman" w:eastAsia="宋体"/>
          <w:lang w:val="en-US" w:eastAsia="zh-CN"/>
        </w:rPr>
      </w:pPr>
      <w:r>
        <w:rPr>
          <w:rFonts w:hint="eastAsia" w:ascii="Times New Roman" w:eastAsia="宋体"/>
          <w:lang w:val="en-US" w:eastAsia="zh-CN"/>
        </w:rPr>
        <w:t>玻璃幕墙的太阳能总透射比应满足GB55015的规定。不同地区幕墙玻璃的光热比和太阳红外热能总透射比宜符合表1中的规定。</w:t>
      </w:r>
    </w:p>
    <w:p w14:paraId="62201CB5">
      <w:pPr>
        <w:pStyle w:val="116"/>
        <w:spacing w:before="156" w:after="156"/>
        <w:ind w:left="0"/>
        <w:rPr>
          <w:rFonts w:ascii="Times New Roman"/>
        </w:rPr>
      </w:pPr>
      <w:r>
        <w:rPr>
          <w:rFonts w:hint="eastAsia" w:ascii="Times New Roman"/>
        </w:rPr>
        <w:t>不同地区</w:t>
      </w:r>
      <w:r>
        <w:rPr>
          <w:rFonts w:hint="eastAsia" w:ascii="Times New Roman"/>
          <w:lang w:val="en-US" w:eastAsia="zh-CN"/>
        </w:rPr>
        <w:t>幕墙玻璃的光热性能</w:t>
      </w:r>
      <w:r>
        <w:rPr>
          <w:rFonts w:hint="eastAsia" w:ascii="Times New Roman"/>
        </w:rPr>
        <w:t>要求</w:t>
      </w:r>
    </w:p>
    <w:tbl>
      <w:tblPr>
        <w:tblStyle w:val="30"/>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077"/>
        <w:gridCol w:w="2652"/>
        <w:gridCol w:w="2652"/>
      </w:tblGrid>
      <w:tr w14:paraId="2EA7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blHeader/>
          <w:jc w:val="center"/>
        </w:trPr>
        <w:tc>
          <w:tcPr>
            <w:tcW w:w="2173" w:type="pct"/>
            <w:shd w:val="clear" w:color="auto" w:fill="auto"/>
            <w:vAlign w:val="center"/>
          </w:tcPr>
          <w:p w14:paraId="04FA3C60">
            <w:pPr>
              <w:pStyle w:val="182"/>
              <w:rPr>
                <w:rFonts w:ascii="Times New Roman"/>
                <w:szCs w:val="18"/>
              </w:rPr>
            </w:pPr>
            <w:r>
              <w:rPr>
                <w:rFonts w:hint="eastAsia" w:ascii="Times New Roman"/>
                <w:szCs w:val="18"/>
              </w:rPr>
              <w:t>地区</w:t>
            </w:r>
          </w:p>
        </w:tc>
        <w:tc>
          <w:tcPr>
            <w:tcW w:w="1413" w:type="pct"/>
            <w:shd w:val="clear" w:color="auto" w:fill="auto"/>
            <w:vAlign w:val="center"/>
          </w:tcPr>
          <w:p w14:paraId="640307FA">
            <w:pPr>
              <w:pStyle w:val="182"/>
              <w:rPr>
                <w:rFonts w:ascii="Times New Roman"/>
                <w:szCs w:val="18"/>
              </w:rPr>
            </w:pPr>
            <w:r>
              <w:rPr>
                <w:rFonts w:hint="eastAsia" w:ascii="Times New Roman"/>
                <w:szCs w:val="18"/>
              </w:rPr>
              <w:t>光热比</w:t>
            </w:r>
            <w:r>
              <w:rPr>
                <w:rFonts w:hint="eastAsia" w:ascii="Times New Roman"/>
                <w:szCs w:val="18"/>
                <w:lang w:val="en-US" w:eastAsia="zh-CN"/>
              </w:rPr>
              <w:t>要求</w:t>
            </w:r>
          </w:p>
        </w:tc>
        <w:tc>
          <w:tcPr>
            <w:tcW w:w="1413" w:type="pct"/>
            <w:shd w:val="clear" w:color="auto" w:fill="auto"/>
            <w:vAlign w:val="center"/>
          </w:tcPr>
          <w:p w14:paraId="23D4AA8D">
            <w:pPr>
              <w:pStyle w:val="182"/>
              <w:rPr>
                <w:rFonts w:hint="eastAsia" w:ascii="Times New Roman"/>
                <w:szCs w:val="18"/>
              </w:rPr>
            </w:pPr>
            <w:r>
              <w:rPr>
                <w:rFonts w:hint="eastAsia" w:ascii="Times New Roman" w:eastAsia="宋体"/>
                <w:lang w:val="en-US" w:eastAsia="zh-CN"/>
              </w:rPr>
              <w:t>太阳红外热能总透射比</w:t>
            </w:r>
          </w:p>
        </w:tc>
      </w:tr>
      <w:tr w14:paraId="0460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2173" w:type="pct"/>
            <w:shd w:val="clear" w:color="auto" w:fill="auto"/>
            <w:vAlign w:val="center"/>
          </w:tcPr>
          <w:p w14:paraId="73ACE7F7">
            <w:pPr>
              <w:pStyle w:val="182"/>
              <w:rPr>
                <w:rFonts w:ascii="Times New Roman"/>
                <w:bCs/>
                <w:szCs w:val="18"/>
              </w:rPr>
            </w:pPr>
            <w:r>
              <w:rPr>
                <w:rFonts w:hint="eastAsia" w:ascii="Times New Roman"/>
                <w:bCs/>
                <w:szCs w:val="18"/>
              </w:rPr>
              <w:t>严寒地区</w:t>
            </w:r>
          </w:p>
        </w:tc>
        <w:tc>
          <w:tcPr>
            <w:tcW w:w="1413" w:type="pct"/>
            <w:shd w:val="clear" w:color="auto" w:fill="auto"/>
            <w:vAlign w:val="center"/>
          </w:tcPr>
          <w:p w14:paraId="37686332">
            <w:pPr>
              <w:pStyle w:val="182"/>
              <w:rPr>
                <w:rFonts w:ascii="Times New Roman"/>
                <w:bCs/>
                <w:szCs w:val="18"/>
              </w:rPr>
            </w:pPr>
            <w:r>
              <w:rPr>
                <w:rFonts w:hint="eastAsia" w:ascii="Times New Roman"/>
                <w:szCs w:val="18"/>
                <w:lang w:eastAsia="zh-CN"/>
              </w:rPr>
              <w:t>——</w:t>
            </w:r>
          </w:p>
        </w:tc>
        <w:tc>
          <w:tcPr>
            <w:tcW w:w="1413" w:type="pct"/>
            <w:shd w:val="clear" w:color="auto" w:fill="auto"/>
            <w:vAlign w:val="center"/>
          </w:tcPr>
          <w:p w14:paraId="1E8A1C28">
            <w:pPr>
              <w:pStyle w:val="182"/>
              <w:rPr>
                <w:rFonts w:hint="eastAsia" w:ascii="Times New Roman" w:eastAsia="宋体"/>
                <w:szCs w:val="18"/>
                <w:lang w:eastAsia="zh-CN"/>
              </w:rPr>
            </w:pPr>
            <w:r>
              <w:rPr>
                <w:rFonts w:hint="eastAsia" w:ascii="Times New Roman"/>
                <w:szCs w:val="18"/>
                <w:lang w:eastAsia="zh-CN"/>
              </w:rPr>
              <w:t>——</w:t>
            </w:r>
          </w:p>
        </w:tc>
      </w:tr>
      <w:tr w14:paraId="50A2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173" w:type="pct"/>
            <w:shd w:val="clear" w:color="auto" w:fill="auto"/>
            <w:vAlign w:val="center"/>
          </w:tcPr>
          <w:p w14:paraId="63CA5F56">
            <w:pPr>
              <w:pStyle w:val="182"/>
              <w:rPr>
                <w:rFonts w:ascii="Times New Roman"/>
                <w:szCs w:val="18"/>
              </w:rPr>
            </w:pPr>
            <w:r>
              <w:rPr>
                <w:rFonts w:hint="eastAsia" w:ascii="Times New Roman"/>
                <w:bCs/>
                <w:szCs w:val="18"/>
              </w:rPr>
              <w:t>寒冷地区</w:t>
            </w:r>
          </w:p>
        </w:tc>
        <w:tc>
          <w:tcPr>
            <w:tcW w:w="1413" w:type="pct"/>
            <w:shd w:val="clear" w:color="auto" w:fill="auto"/>
            <w:vAlign w:val="center"/>
          </w:tcPr>
          <w:p w14:paraId="31AC2095">
            <w:pPr>
              <w:pStyle w:val="182"/>
              <w:rPr>
                <w:rFonts w:ascii="Times New Roman"/>
                <w:szCs w:val="18"/>
              </w:rPr>
            </w:pPr>
            <w:r>
              <w:rPr>
                <w:rFonts w:hint="eastAsia" w:ascii="Times New Roman"/>
                <w:szCs w:val="18"/>
              </w:rPr>
              <w:t>r≥1.</w:t>
            </w:r>
            <w:r>
              <w:rPr>
                <w:rFonts w:hint="eastAsia" w:ascii="Times New Roman"/>
                <w:szCs w:val="18"/>
                <w:lang w:val="en-US" w:eastAsia="zh-CN"/>
              </w:rPr>
              <w:t>2</w:t>
            </w:r>
          </w:p>
        </w:tc>
        <w:tc>
          <w:tcPr>
            <w:tcW w:w="1413" w:type="pct"/>
            <w:shd w:val="clear" w:color="auto" w:fill="auto"/>
            <w:vAlign w:val="center"/>
          </w:tcPr>
          <w:p w14:paraId="7FDAE800">
            <w:pPr>
              <w:pStyle w:val="182"/>
              <w:rPr>
                <w:rFonts w:hint="eastAsia" w:ascii="Times New Roman" w:eastAsia="宋体"/>
                <w:szCs w:val="18"/>
                <w:lang w:eastAsia="zh-CN"/>
              </w:rPr>
            </w:pPr>
            <w:r>
              <w:rPr>
                <w:rFonts w:hint="eastAsia" w:ascii="Times New Roman"/>
                <w:szCs w:val="18"/>
                <w:lang w:eastAsia="zh-CN"/>
              </w:rPr>
              <w:t>——</w:t>
            </w:r>
          </w:p>
        </w:tc>
      </w:tr>
      <w:tr w14:paraId="2A3A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173" w:type="pct"/>
            <w:shd w:val="clear" w:color="auto" w:fill="auto"/>
            <w:vAlign w:val="center"/>
          </w:tcPr>
          <w:p w14:paraId="56AA952B">
            <w:pPr>
              <w:pStyle w:val="182"/>
              <w:rPr>
                <w:rFonts w:ascii="Times New Roman"/>
                <w:szCs w:val="18"/>
              </w:rPr>
            </w:pPr>
            <w:r>
              <w:rPr>
                <w:rFonts w:hint="eastAsia" w:ascii="Times New Roman"/>
                <w:bCs/>
                <w:szCs w:val="18"/>
              </w:rPr>
              <w:t>夏热冬冷地区</w:t>
            </w:r>
          </w:p>
        </w:tc>
        <w:tc>
          <w:tcPr>
            <w:tcW w:w="1413" w:type="pct"/>
            <w:shd w:val="clear" w:color="auto" w:fill="auto"/>
            <w:vAlign w:val="center"/>
          </w:tcPr>
          <w:p w14:paraId="788E35DE">
            <w:pPr>
              <w:pStyle w:val="182"/>
              <w:rPr>
                <w:rFonts w:ascii="Times New Roman"/>
                <w:szCs w:val="18"/>
              </w:rPr>
            </w:pPr>
            <w:r>
              <w:rPr>
                <w:rFonts w:hint="eastAsia" w:ascii="Times New Roman"/>
                <w:szCs w:val="18"/>
              </w:rPr>
              <w:t>r≥1.</w:t>
            </w:r>
            <w:r>
              <w:rPr>
                <w:rFonts w:hint="eastAsia" w:ascii="Times New Roman"/>
                <w:szCs w:val="18"/>
                <w:lang w:val="en-US" w:eastAsia="zh-CN"/>
              </w:rPr>
              <w:t>3</w:t>
            </w:r>
          </w:p>
        </w:tc>
        <w:tc>
          <w:tcPr>
            <w:tcW w:w="1413" w:type="pct"/>
            <w:shd w:val="clear" w:color="auto" w:fill="auto"/>
            <w:vAlign w:val="center"/>
          </w:tcPr>
          <w:p w14:paraId="46C86BD3">
            <w:pPr>
              <w:pStyle w:val="182"/>
              <w:rPr>
                <w:rFonts w:hint="default" w:ascii="Times New Roman" w:eastAsia="宋体"/>
                <w:szCs w:val="18"/>
                <w:lang w:val="en-US" w:eastAsia="zh-CN"/>
              </w:rPr>
            </w:pPr>
            <w:r>
              <w:rPr>
                <w:rFonts w:hint="eastAsia" w:ascii="Times New Roman"/>
                <w:szCs w:val="18"/>
                <w:lang w:val="en-US" w:eastAsia="zh-CN"/>
              </w:rPr>
              <w:t>≤0.30</w:t>
            </w:r>
          </w:p>
        </w:tc>
      </w:tr>
      <w:tr w14:paraId="59D3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173" w:type="pct"/>
            <w:shd w:val="clear" w:color="auto" w:fill="auto"/>
            <w:vAlign w:val="center"/>
          </w:tcPr>
          <w:p w14:paraId="10FBA443">
            <w:pPr>
              <w:pStyle w:val="182"/>
              <w:ind w:firstLine="0" w:firstLineChars="0"/>
              <w:rPr>
                <w:rFonts w:hint="eastAsia" w:ascii="Times New Roman"/>
                <w:bCs/>
                <w:szCs w:val="18"/>
              </w:rPr>
            </w:pPr>
            <w:r>
              <w:rPr>
                <w:rFonts w:hint="eastAsia" w:ascii="Times New Roman"/>
                <w:bCs/>
                <w:szCs w:val="18"/>
              </w:rPr>
              <w:t>温和地区</w:t>
            </w:r>
          </w:p>
        </w:tc>
        <w:tc>
          <w:tcPr>
            <w:tcW w:w="1413" w:type="pct"/>
            <w:shd w:val="clear" w:color="auto" w:fill="auto"/>
            <w:vAlign w:val="center"/>
          </w:tcPr>
          <w:p w14:paraId="51505124">
            <w:pPr>
              <w:pStyle w:val="182"/>
              <w:ind w:firstLine="0" w:firstLineChars="0"/>
              <w:rPr>
                <w:rFonts w:hint="eastAsia" w:ascii="Times New Roman"/>
                <w:szCs w:val="18"/>
              </w:rPr>
            </w:pPr>
            <w:r>
              <w:rPr>
                <w:rFonts w:hint="eastAsia" w:ascii="Times New Roman"/>
                <w:szCs w:val="18"/>
              </w:rPr>
              <w:t>r≥1.</w:t>
            </w:r>
            <w:r>
              <w:rPr>
                <w:rFonts w:hint="eastAsia" w:ascii="Times New Roman"/>
                <w:szCs w:val="18"/>
                <w:lang w:val="en-US" w:eastAsia="zh-CN"/>
              </w:rPr>
              <w:t>4</w:t>
            </w:r>
          </w:p>
        </w:tc>
        <w:tc>
          <w:tcPr>
            <w:tcW w:w="1413" w:type="pct"/>
            <w:shd w:val="clear" w:color="auto" w:fill="auto"/>
            <w:vAlign w:val="center"/>
          </w:tcPr>
          <w:p w14:paraId="1FBBC1D1">
            <w:pPr>
              <w:pStyle w:val="182"/>
              <w:ind w:firstLine="0" w:firstLineChars="0"/>
              <w:rPr>
                <w:rFonts w:hint="default" w:ascii="Times New Roman"/>
                <w:szCs w:val="18"/>
                <w:lang w:val="en-US" w:eastAsia="zh-CN"/>
              </w:rPr>
            </w:pPr>
            <w:r>
              <w:rPr>
                <w:rFonts w:hint="eastAsia" w:ascii="Times New Roman"/>
                <w:szCs w:val="18"/>
                <w:lang w:val="en-US" w:eastAsia="zh-CN"/>
              </w:rPr>
              <w:t>≤0.25</w:t>
            </w:r>
          </w:p>
        </w:tc>
      </w:tr>
      <w:tr w14:paraId="1397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2173" w:type="pct"/>
            <w:shd w:val="clear" w:color="auto" w:fill="auto"/>
            <w:vAlign w:val="center"/>
          </w:tcPr>
          <w:p w14:paraId="72E22CB3">
            <w:pPr>
              <w:pStyle w:val="182"/>
              <w:rPr>
                <w:rFonts w:ascii="Times New Roman"/>
                <w:szCs w:val="18"/>
                <w:highlight w:val="yellow"/>
              </w:rPr>
            </w:pPr>
            <w:r>
              <w:rPr>
                <w:rFonts w:hint="eastAsia" w:ascii="Times New Roman"/>
                <w:bCs/>
                <w:szCs w:val="18"/>
              </w:rPr>
              <w:t>夏热冬暖地区</w:t>
            </w:r>
          </w:p>
        </w:tc>
        <w:tc>
          <w:tcPr>
            <w:tcW w:w="1413" w:type="pct"/>
            <w:shd w:val="clear" w:color="auto" w:fill="auto"/>
            <w:vAlign w:val="center"/>
          </w:tcPr>
          <w:p w14:paraId="60B6E138">
            <w:pPr>
              <w:pStyle w:val="182"/>
              <w:rPr>
                <w:rFonts w:hint="eastAsia" w:ascii="Times New Roman" w:eastAsia="宋体"/>
                <w:szCs w:val="18"/>
                <w:lang w:eastAsia="zh-CN"/>
              </w:rPr>
            </w:pPr>
            <w:r>
              <w:rPr>
                <w:rFonts w:hint="eastAsia" w:ascii="Times New Roman"/>
                <w:szCs w:val="18"/>
              </w:rPr>
              <w:t>r≥1.</w:t>
            </w:r>
            <w:r>
              <w:rPr>
                <w:rFonts w:hint="eastAsia" w:ascii="Times New Roman"/>
                <w:szCs w:val="18"/>
                <w:lang w:val="en-US" w:eastAsia="zh-CN"/>
              </w:rPr>
              <w:t>5</w:t>
            </w:r>
          </w:p>
        </w:tc>
        <w:tc>
          <w:tcPr>
            <w:tcW w:w="1413" w:type="pct"/>
            <w:shd w:val="clear" w:color="auto" w:fill="auto"/>
            <w:vAlign w:val="center"/>
          </w:tcPr>
          <w:p w14:paraId="20A337B2">
            <w:pPr>
              <w:pStyle w:val="182"/>
              <w:rPr>
                <w:rFonts w:hint="eastAsia" w:ascii="Times New Roman"/>
                <w:szCs w:val="18"/>
              </w:rPr>
            </w:pPr>
            <w:r>
              <w:rPr>
                <w:rFonts w:hint="eastAsia" w:ascii="Times New Roman"/>
                <w:szCs w:val="18"/>
                <w:lang w:val="en-US" w:eastAsia="zh-CN"/>
              </w:rPr>
              <w:t>≤0.20</w:t>
            </w:r>
          </w:p>
        </w:tc>
      </w:tr>
    </w:tbl>
    <w:p w14:paraId="76C14C47">
      <w:pPr>
        <w:pStyle w:val="109"/>
        <w:spacing w:before="156" w:after="156"/>
        <w:rPr>
          <w:rFonts w:hint="eastAsia" w:ascii="Times New Roman" w:eastAsia="宋体"/>
          <w:lang w:val="en-US" w:eastAsia="zh-CN"/>
        </w:rPr>
      </w:pPr>
      <w:r>
        <w:rPr>
          <w:rFonts w:hint="eastAsia" w:ascii="Times New Roman" w:eastAsia="宋体"/>
          <w:lang w:val="en-US" w:eastAsia="zh-CN"/>
        </w:rPr>
        <w:t>幕墙玻璃的可见反射光比不应大于0.30。</w:t>
      </w:r>
    </w:p>
    <w:p w14:paraId="1102E4D9">
      <w:pPr>
        <w:pStyle w:val="109"/>
        <w:spacing w:before="156" w:after="156"/>
        <w:rPr>
          <w:rFonts w:hint="eastAsia" w:ascii="Times New Roman" w:eastAsia="宋体"/>
          <w:lang w:val="en-US" w:eastAsia="zh-CN"/>
        </w:rPr>
      </w:pPr>
      <w:r>
        <w:rPr>
          <w:rFonts w:hint="eastAsia" w:ascii="Times New Roman" w:eastAsia="宋体"/>
          <w:lang w:val="en-US" w:eastAsia="zh-CN"/>
        </w:rPr>
        <w:t>在城市快速路、主干道、立交桥、高架桥两侧的建筑物20m以下及一般路段10m以下的玻璃幕墙，应采用可见反射光比不大于0.16的玻璃。</w:t>
      </w:r>
    </w:p>
    <w:p w14:paraId="08551F99">
      <w:pPr>
        <w:pStyle w:val="109"/>
        <w:spacing w:before="156" w:after="156"/>
        <w:rPr>
          <w:rFonts w:hint="eastAsia" w:ascii="Times New Roman" w:eastAsia="宋体"/>
          <w:lang w:val="en-US" w:eastAsia="zh-CN"/>
        </w:rPr>
      </w:pPr>
      <w:bookmarkStart w:id="77" w:name="_Toc20413"/>
      <w:bookmarkStart w:id="78" w:name="_Toc23019"/>
      <w:r>
        <w:rPr>
          <w:rFonts w:hint="eastAsia" w:ascii="Times New Roman" w:eastAsia="宋体"/>
          <w:lang w:val="en-US" w:eastAsia="zh-CN"/>
        </w:rPr>
        <w:t>玻璃幕墙有聚光风险时，不宜使用太阳光直接反射比大于0.30的玻璃。</w:t>
      </w:r>
      <w:bookmarkEnd w:id="77"/>
      <w:bookmarkEnd w:id="78"/>
    </w:p>
    <w:p w14:paraId="66B4C0F0">
      <w:pPr>
        <w:pStyle w:val="109"/>
        <w:spacing w:before="156" w:after="156"/>
        <w:rPr>
          <w:rFonts w:hint="eastAsia" w:ascii="Times New Roman" w:eastAsia="宋体"/>
          <w:lang w:val="en-US" w:eastAsia="zh-CN"/>
        </w:rPr>
      </w:pPr>
      <w:bookmarkStart w:id="79" w:name="_Toc1721"/>
      <w:bookmarkStart w:id="80" w:name="_Toc15687"/>
      <w:bookmarkStart w:id="81" w:name="_Toc10759"/>
      <w:r>
        <w:rPr>
          <w:rFonts w:hint="eastAsia" w:ascii="Times New Roman" w:eastAsia="宋体"/>
          <w:lang w:val="en-US" w:eastAsia="zh-CN"/>
        </w:rPr>
        <w:t>有颜色辨别要求的幕墙的颜色透射指数不应低于80。</w:t>
      </w:r>
      <w:bookmarkEnd w:id="79"/>
      <w:bookmarkEnd w:id="80"/>
    </w:p>
    <w:p w14:paraId="62B67429">
      <w:pPr>
        <w:pStyle w:val="109"/>
        <w:spacing w:before="156" w:after="156"/>
        <w:rPr>
          <w:rFonts w:hint="eastAsia" w:ascii="Times New Roman" w:eastAsia="宋体"/>
          <w:lang w:val="en-US" w:eastAsia="zh-CN"/>
        </w:rPr>
      </w:pPr>
      <w:bookmarkStart w:id="82" w:name="_Toc2835"/>
      <w:bookmarkStart w:id="83" w:name="_Toc7578"/>
      <w:r>
        <w:rPr>
          <w:rFonts w:hint="eastAsia" w:ascii="Times New Roman" w:eastAsia="宋体"/>
          <w:lang w:val="en-US" w:eastAsia="zh-CN"/>
        </w:rPr>
        <w:t>同一玻璃产品的反射色差不应大于3 CIELAB色差单位。</w:t>
      </w:r>
      <w:bookmarkEnd w:id="82"/>
      <w:bookmarkEnd w:id="83"/>
      <w:bookmarkStart w:id="84" w:name="_Toc26802"/>
      <w:bookmarkStart w:id="85" w:name="_Toc9864"/>
      <w:bookmarkStart w:id="86" w:name="_Toc87459565"/>
    </w:p>
    <w:p w14:paraId="74EF3BE6">
      <w:pPr>
        <w:pStyle w:val="109"/>
        <w:spacing w:before="156" w:after="156"/>
        <w:rPr>
          <w:rFonts w:hint="eastAsia" w:ascii="Times New Roman" w:eastAsia="宋体"/>
          <w:lang w:val="en-US" w:eastAsia="zh-CN"/>
        </w:rPr>
      </w:pPr>
      <w:r>
        <w:rPr>
          <w:rFonts w:hint="eastAsia" w:ascii="Times New Roman" w:eastAsia="宋体"/>
          <w:lang w:val="en-US" w:eastAsia="zh-CN"/>
        </w:rPr>
        <w:t>幕墙材料的镜面光泽度不宜大于200GU。</w:t>
      </w:r>
      <w:bookmarkEnd w:id="84"/>
      <w:bookmarkEnd w:id="85"/>
      <w:bookmarkEnd w:id="86"/>
    </w:p>
    <w:p w14:paraId="588FCD34">
      <w:pPr>
        <w:pStyle w:val="108"/>
        <w:spacing w:before="312" w:after="312"/>
        <w:rPr>
          <w:rFonts w:ascii="Times New Roman"/>
        </w:rPr>
      </w:pPr>
      <w:bookmarkStart w:id="87" w:name="_Toc8985"/>
      <w:r>
        <w:rPr>
          <w:rFonts w:hint="eastAsia" w:ascii="Times New Roman"/>
        </w:rPr>
        <w:t>检验</w:t>
      </w:r>
      <w:bookmarkEnd w:id="81"/>
      <w:bookmarkEnd w:id="87"/>
    </w:p>
    <w:p w14:paraId="1FC020CE">
      <w:pPr>
        <w:pStyle w:val="109"/>
        <w:spacing w:before="156" w:after="156"/>
        <w:rPr>
          <w:rFonts w:ascii="Times New Roman"/>
        </w:rPr>
      </w:pPr>
      <w:bookmarkStart w:id="88" w:name="_Toc26726"/>
      <w:bookmarkStart w:id="89" w:name="_Toc4686"/>
      <w:bookmarkStart w:id="90" w:name="_Toc29529"/>
      <w:bookmarkStart w:id="91" w:name="_Toc1120"/>
      <w:r>
        <w:rPr>
          <w:rFonts w:hint="eastAsia" w:ascii="Times New Roman"/>
        </w:rPr>
        <w:t>可见光</w:t>
      </w:r>
      <w:bookmarkEnd w:id="88"/>
      <w:bookmarkEnd w:id="89"/>
      <w:r>
        <w:rPr>
          <w:rFonts w:hint="eastAsia"/>
          <w:lang w:val="en-US" w:eastAsia="zh-CN"/>
        </w:rPr>
        <w:t>透射比和反射比</w:t>
      </w:r>
      <w:bookmarkEnd w:id="90"/>
      <w:bookmarkEnd w:id="91"/>
    </w:p>
    <w:p w14:paraId="7E78E82D">
      <w:pPr>
        <w:pStyle w:val="169"/>
        <w:spacing w:line="360" w:lineRule="auto"/>
        <w:rPr>
          <w:rFonts w:ascii="Times New Roman"/>
        </w:rPr>
      </w:pPr>
      <w:r>
        <w:rPr>
          <w:rFonts w:hint="eastAsia" w:ascii="Times New Roman"/>
        </w:rPr>
        <w:t>幕墙玻璃的可见光透射比和反射比</w:t>
      </w:r>
      <w:r>
        <w:rPr>
          <w:rFonts w:hint="eastAsia" w:ascii="Times New Roman"/>
          <w:lang w:val="en-US" w:eastAsia="zh-CN"/>
        </w:rPr>
        <w:t>的实验室检测</w:t>
      </w:r>
      <w:r>
        <w:rPr>
          <w:rFonts w:hint="eastAsia" w:ascii="Times New Roman"/>
        </w:rPr>
        <w:t>宜按GB/T 2680的规定进行</w:t>
      </w:r>
      <w:r>
        <w:rPr>
          <w:rFonts w:hint="eastAsia" w:ascii="Times New Roman"/>
          <w:lang w:eastAsia="zh-CN"/>
        </w:rPr>
        <w:t>。</w:t>
      </w:r>
    </w:p>
    <w:p w14:paraId="28B73B4E">
      <w:pPr>
        <w:pStyle w:val="169"/>
        <w:spacing w:line="360" w:lineRule="auto"/>
        <w:rPr>
          <w:rFonts w:ascii="Times New Roman"/>
        </w:rPr>
      </w:pPr>
      <w:r>
        <w:rPr>
          <w:rFonts w:hint="eastAsia" w:ascii="Times New Roman"/>
        </w:rPr>
        <w:t>幕墙玻璃的可见光透射比和反射比</w:t>
      </w:r>
      <w:r>
        <w:rPr>
          <w:rFonts w:hint="eastAsia" w:ascii="Times New Roman"/>
          <w:lang w:val="en-US" w:eastAsia="zh-CN"/>
        </w:rPr>
        <w:t>的</w:t>
      </w:r>
      <w:r>
        <w:rPr>
          <w:rFonts w:hint="eastAsia" w:ascii="Times New Roman"/>
        </w:rPr>
        <w:t>现场检测</w:t>
      </w:r>
      <w:r>
        <w:rPr>
          <w:rFonts w:hint="eastAsia" w:ascii="Times New Roman"/>
          <w:lang w:val="en-US" w:eastAsia="zh-CN"/>
        </w:rPr>
        <w:t>宜按</w:t>
      </w:r>
      <w:r>
        <w:rPr>
          <w:rFonts w:hint="eastAsia" w:ascii="Times New Roman"/>
        </w:rPr>
        <w:t>GB/T 36261的规定进行。</w:t>
      </w:r>
    </w:p>
    <w:p w14:paraId="186AE938">
      <w:pPr>
        <w:pStyle w:val="169"/>
        <w:spacing w:line="360" w:lineRule="auto"/>
        <w:rPr>
          <w:rFonts w:ascii="Times New Roman"/>
        </w:rPr>
      </w:pPr>
      <w:r>
        <w:rPr>
          <w:rFonts w:hint="eastAsia" w:ascii="Times New Roman"/>
          <w:lang w:val="en-US" w:eastAsia="zh-CN"/>
        </w:rPr>
        <w:t>玻璃幕墙</w:t>
      </w:r>
      <w:r>
        <w:rPr>
          <w:rFonts w:hint="eastAsia" w:ascii="Times New Roman"/>
        </w:rPr>
        <w:t>的可见光透射比可按照JGJ/T 151的规定进行计算。</w:t>
      </w:r>
    </w:p>
    <w:p w14:paraId="5881C091">
      <w:pPr>
        <w:pStyle w:val="109"/>
        <w:spacing w:before="156" w:after="156"/>
        <w:rPr>
          <w:rFonts w:ascii="Times New Roman"/>
        </w:rPr>
      </w:pPr>
      <w:bookmarkStart w:id="92" w:name="_Toc10090"/>
      <w:bookmarkStart w:id="93" w:name="_Toc23748"/>
      <w:r>
        <w:rPr>
          <w:rFonts w:hint="eastAsia"/>
        </w:rPr>
        <w:t>太阳光直接透射比和直接反射比、太阳红外热能总透射比、太阳能总透射比</w:t>
      </w:r>
      <w:bookmarkEnd w:id="92"/>
      <w:bookmarkEnd w:id="93"/>
    </w:p>
    <w:p w14:paraId="4E834FA0">
      <w:pPr>
        <w:pStyle w:val="169"/>
        <w:spacing w:line="360" w:lineRule="auto"/>
        <w:rPr>
          <w:rFonts w:ascii="Times New Roman"/>
        </w:rPr>
      </w:pPr>
      <w:r>
        <w:rPr>
          <w:rFonts w:hint="eastAsia" w:ascii="Times New Roman"/>
        </w:rPr>
        <w:t>幕墙玻璃的太阳光直接透射比和直接反射比、太阳红外热能总透射比、太阳能总透射比</w:t>
      </w:r>
      <w:r>
        <w:rPr>
          <w:rFonts w:hint="eastAsia" w:ascii="Times New Roman"/>
          <w:lang w:val="en-US" w:eastAsia="zh-CN"/>
        </w:rPr>
        <w:t>的实验室检测</w:t>
      </w:r>
      <w:r>
        <w:rPr>
          <w:rFonts w:hint="eastAsia" w:ascii="Times New Roman"/>
        </w:rPr>
        <w:t>宜按GB/T 2680的规定进行</w:t>
      </w:r>
      <w:r>
        <w:rPr>
          <w:rFonts w:hint="eastAsia" w:ascii="Times New Roman"/>
          <w:lang w:eastAsia="zh-CN"/>
        </w:rPr>
        <w:t>。</w:t>
      </w:r>
    </w:p>
    <w:p w14:paraId="04C54F80">
      <w:pPr>
        <w:pStyle w:val="169"/>
        <w:spacing w:line="360" w:lineRule="auto"/>
        <w:rPr>
          <w:rFonts w:ascii="Times New Roman"/>
        </w:rPr>
      </w:pPr>
      <w:r>
        <w:rPr>
          <w:rFonts w:hint="eastAsia" w:ascii="Times New Roman"/>
        </w:rPr>
        <w:t>幕墙玻璃的太阳光直接透射比和直接反射比、太阳红外热能总透射比、太阳能总透射比</w:t>
      </w:r>
      <w:r>
        <w:rPr>
          <w:rFonts w:hint="eastAsia" w:ascii="Times New Roman"/>
          <w:lang w:val="en-US" w:eastAsia="zh-CN"/>
        </w:rPr>
        <w:t>的</w:t>
      </w:r>
      <w:r>
        <w:rPr>
          <w:rFonts w:hint="eastAsia" w:ascii="Times New Roman"/>
        </w:rPr>
        <w:t>现场检测</w:t>
      </w:r>
      <w:r>
        <w:rPr>
          <w:rFonts w:hint="eastAsia" w:ascii="Times New Roman"/>
          <w:lang w:val="en-US" w:eastAsia="zh-CN"/>
        </w:rPr>
        <w:t>宜</w:t>
      </w:r>
      <w:r>
        <w:rPr>
          <w:rFonts w:hint="eastAsia" w:ascii="Times New Roman"/>
        </w:rPr>
        <w:t>按GB/T 36261的规定进行</w:t>
      </w:r>
      <w:r>
        <w:rPr>
          <w:rFonts w:hint="eastAsia" w:ascii="Times New Roman"/>
          <w:lang w:eastAsia="zh-CN"/>
        </w:rPr>
        <w:t>。</w:t>
      </w:r>
    </w:p>
    <w:p w14:paraId="2087864B">
      <w:pPr>
        <w:pStyle w:val="169"/>
        <w:spacing w:line="360" w:lineRule="auto"/>
        <w:rPr>
          <w:rFonts w:ascii="Times New Roman"/>
        </w:rPr>
      </w:pPr>
      <w:bookmarkStart w:id="94" w:name="_Toc32041"/>
      <w:bookmarkStart w:id="95" w:name="_Toc21807"/>
      <w:r>
        <w:rPr>
          <w:rFonts w:hint="eastAsia" w:ascii="Times New Roman"/>
          <w:lang w:val="en-US" w:eastAsia="zh-CN"/>
        </w:rPr>
        <w:t>玻璃幕墙</w:t>
      </w:r>
      <w:r>
        <w:rPr>
          <w:rFonts w:hint="eastAsia" w:ascii="Times New Roman"/>
        </w:rPr>
        <w:t>的太阳能总透射比可按照JGJ/T 151的规定进行计算。</w:t>
      </w:r>
    </w:p>
    <w:p w14:paraId="72865C03">
      <w:pPr>
        <w:pStyle w:val="169"/>
        <w:spacing w:line="360" w:lineRule="auto"/>
        <w:rPr>
          <w:rFonts w:ascii="Times New Roman"/>
        </w:rPr>
      </w:pPr>
      <w:r>
        <w:rPr>
          <w:rFonts w:hint="eastAsia" w:ascii="Times New Roman"/>
          <w:lang w:val="en-US" w:eastAsia="zh-CN"/>
        </w:rPr>
        <w:t>幕墙玻璃的光热比</w:t>
      </w:r>
      <w:r>
        <w:rPr>
          <w:rFonts w:hint="eastAsia"/>
          <w:lang w:val="en-US" w:eastAsia="zh-CN"/>
        </w:rPr>
        <w:t>应为6.1测得的可见反射光比与6.2测得的太阳能总透射比的比值，保留2位有效数字。</w:t>
      </w:r>
    </w:p>
    <w:p w14:paraId="1020B9D2">
      <w:pPr>
        <w:pStyle w:val="109"/>
        <w:spacing w:before="156" w:after="156"/>
        <w:rPr>
          <w:rFonts w:hint="eastAsia"/>
        </w:rPr>
      </w:pPr>
      <w:bookmarkStart w:id="96" w:name="_Toc23008"/>
      <w:bookmarkStart w:id="97" w:name="_Toc25900"/>
      <w:r>
        <w:rPr>
          <w:rFonts w:hint="eastAsia"/>
          <w:lang w:val="en-US" w:eastAsia="zh-CN"/>
        </w:rPr>
        <w:t>紫外线透射比</w:t>
      </w:r>
      <w:bookmarkEnd w:id="96"/>
      <w:bookmarkEnd w:id="97"/>
    </w:p>
    <w:p w14:paraId="554713FF">
      <w:pPr>
        <w:pStyle w:val="169"/>
        <w:spacing w:line="360" w:lineRule="auto"/>
        <w:rPr>
          <w:rFonts w:hint="eastAsia"/>
        </w:rPr>
      </w:pPr>
      <w:r>
        <w:rPr>
          <w:rFonts w:hint="eastAsia" w:ascii="Times New Roman"/>
        </w:rPr>
        <w:t>幕墙玻璃的</w:t>
      </w:r>
      <w:r>
        <w:rPr>
          <w:rFonts w:hint="eastAsia" w:ascii="Times New Roman"/>
          <w:lang w:val="en-US" w:eastAsia="zh-CN"/>
        </w:rPr>
        <w:t>紫外线透射比应</w:t>
      </w:r>
      <w:r>
        <w:rPr>
          <w:rFonts w:hint="eastAsia" w:ascii="Times New Roman"/>
        </w:rPr>
        <w:t>按GB/T 2680的规定进行检测</w:t>
      </w:r>
      <w:r>
        <w:rPr>
          <w:rFonts w:hint="eastAsia" w:ascii="Times New Roman"/>
          <w:lang w:eastAsia="zh-CN"/>
        </w:rPr>
        <w:t>。</w:t>
      </w:r>
    </w:p>
    <w:p w14:paraId="0A37A5D8">
      <w:pPr>
        <w:pStyle w:val="109"/>
        <w:spacing w:before="156" w:after="156"/>
        <w:rPr>
          <w:rFonts w:ascii="Times New Roman"/>
        </w:rPr>
      </w:pPr>
      <w:bookmarkStart w:id="98" w:name="_Toc25767"/>
      <w:bookmarkStart w:id="99" w:name="_Toc24366"/>
      <w:r>
        <w:rPr>
          <w:rFonts w:hint="eastAsia" w:ascii="Times New Roman"/>
        </w:rPr>
        <w:t>颜色透射指数</w:t>
      </w:r>
      <w:bookmarkEnd w:id="94"/>
      <w:bookmarkEnd w:id="95"/>
      <w:bookmarkEnd w:id="98"/>
      <w:bookmarkEnd w:id="99"/>
    </w:p>
    <w:p w14:paraId="13E20499">
      <w:pPr>
        <w:pStyle w:val="237"/>
        <w:numPr>
          <w:ilvl w:val="0"/>
          <w:numId w:val="0"/>
        </w:numPr>
        <w:tabs>
          <w:tab w:val="center" w:pos="4201"/>
          <w:tab w:val="right" w:leader="dot" w:pos="9298"/>
        </w:tabs>
        <w:spacing w:line="360" w:lineRule="auto"/>
        <w:ind w:firstLine="420" w:firstLineChars="200"/>
        <w:rPr>
          <w:rFonts w:ascii="Times New Roman" w:eastAsia="宋体"/>
        </w:rPr>
      </w:pPr>
      <w:r>
        <w:rPr>
          <w:rFonts w:hint="eastAsia" w:ascii="Times New Roman" w:eastAsia="宋体"/>
        </w:rPr>
        <w:t>幕墙</w:t>
      </w:r>
      <w:r>
        <w:rPr>
          <w:rFonts w:hint="eastAsia" w:ascii="Times New Roman" w:eastAsia="宋体"/>
          <w:lang w:val="en-US" w:eastAsia="zh-CN"/>
        </w:rPr>
        <w:t>玻璃</w:t>
      </w:r>
      <w:r>
        <w:rPr>
          <w:rFonts w:hint="eastAsia" w:ascii="Times New Roman" w:eastAsia="宋体"/>
        </w:rPr>
        <w:t>的颜色透射指数可按照GB/T 11976的规定进行检测。当现场检测时，可</w:t>
      </w:r>
      <w:r>
        <w:rPr>
          <w:rStyle w:val="36"/>
          <w:rFonts w:hint="eastAsia" w:ascii="Times New Roman" w:eastAsia="宋体"/>
          <w:kern w:val="2"/>
        </w:rPr>
        <w:t>按</w:t>
      </w:r>
      <w:bookmarkStart w:id="100" w:name="_Hlk181979552"/>
      <w:r>
        <w:rPr>
          <w:rFonts w:hint="eastAsia" w:ascii="Times New Roman" w:eastAsia="宋体"/>
        </w:rPr>
        <w:t xml:space="preserve">GB/T </w:t>
      </w:r>
      <w:bookmarkEnd w:id="100"/>
      <w:r>
        <w:rPr>
          <w:rFonts w:hint="eastAsia" w:ascii="Times New Roman" w:eastAsia="宋体"/>
          <w:szCs w:val="20"/>
        </w:rPr>
        <w:t>5699</w:t>
      </w:r>
      <w:r>
        <w:rPr>
          <w:rFonts w:hint="eastAsia" w:ascii="Times New Roman" w:eastAsia="宋体"/>
        </w:rPr>
        <w:t>的规定进行。</w:t>
      </w:r>
    </w:p>
    <w:p w14:paraId="60D70CBD">
      <w:pPr>
        <w:pStyle w:val="109"/>
        <w:spacing w:before="156" w:after="156"/>
        <w:rPr>
          <w:rFonts w:ascii="Times New Roman"/>
        </w:rPr>
      </w:pPr>
      <w:bookmarkStart w:id="101" w:name="_Toc16909"/>
      <w:bookmarkStart w:id="102" w:name="_Toc10255"/>
      <w:bookmarkStart w:id="103" w:name="_Toc27362"/>
      <w:bookmarkStart w:id="104" w:name="_Toc19160"/>
      <w:r>
        <w:rPr>
          <w:rFonts w:hint="eastAsia" w:ascii="Times New Roman"/>
        </w:rPr>
        <w:t>色差</w:t>
      </w:r>
      <w:bookmarkEnd w:id="101"/>
      <w:bookmarkEnd w:id="102"/>
      <w:bookmarkEnd w:id="103"/>
      <w:bookmarkEnd w:id="104"/>
    </w:p>
    <w:p w14:paraId="59E93EC9">
      <w:pPr>
        <w:pStyle w:val="169"/>
        <w:spacing w:line="360" w:lineRule="auto"/>
        <w:rPr>
          <w:rFonts w:ascii="Times New Roman"/>
          <w:highlight w:val="none"/>
        </w:rPr>
      </w:pPr>
      <w:r>
        <w:rPr>
          <w:rFonts w:hint="eastAsia" w:ascii="Times New Roman"/>
          <w:highlight w:val="none"/>
        </w:rPr>
        <w:t>反射色差的检测</w:t>
      </w:r>
      <w:r>
        <w:rPr>
          <w:rFonts w:hint="eastAsia" w:ascii="Times New Roman"/>
          <w:highlight w:val="none"/>
          <w:lang w:val="en-US" w:eastAsia="zh-CN"/>
        </w:rPr>
        <w:t>应按</w:t>
      </w:r>
      <w:r>
        <w:rPr>
          <w:rFonts w:hint="eastAsia" w:ascii="Times New Roman"/>
          <w:highlight w:val="none"/>
        </w:rPr>
        <w:t>GB/T 36142</w:t>
      </w:r>
      <w:r>
        <w:rPr>
          <w:rFonts w:hint="eastAsia" w:ascii="Times New Roman"/>
          <w:highlight w:val="none"/>
          <w:lang w:val="en-US" w:eastAsia="zh-CN"/>
        </w:rPr>
        <w:t>进行</w:t>
      </w:r>
      <w:r>
        <w:rPr>
          <w:rFonts w:hint="eastAsia" w:ascii="Times New Roman"/>
          <w:highlight w:val="none"/>
          <w:lang w:eastAsia="zh-CN"/>
        </w:rPr>
        <w:t>，</w:t>
      </w:r>
      <w:r>
        <w:rPr>
          <w:rFonts w:hint="eastAsia" w:ascii="Times New Roman"/>
          <w:highlight w:val="none"/>
          <w:lang w:val="en-US" w:eastAsia="zh-CN"/>
        </w:rPr>
        <w:t>采样应</w:t>
      </w:r>
      <w:r>
        <w:rPr>
          <w:rFonts w:hint="eastAsia" w:ascii="Times New Roman"/>
          <w:highlight w:val="none"/>
        </w:rPr>
        <w:t>符合下列规定：</w:t>
      </w:r>
    </w:p>
    <w:p w14:paraId="641A9662">
      <w:pPr>
        <w:pStyle w:val="60"/>
        <w:numPr>
          <w:ilvl w:val="0"/>
          <w:numId w:val="34"/>
        </w:numPr>
        <w:spacing w:line="360" w:lineRule="auto"/>
        <w:ind w:firstLine="420"/>
        <w:rPr>
          <w:rFonts w:ascii="Times New Roman"/>
          <w:highlight w:val="none"/>
        </w:rPr>
      </w:pPr>
      <w:r>
        <w:rPr>
          <w:rFonts w:hint="eastAsia" w:ascii="Times New Roman"/>
          <w:highlight w:val="none"/>
        </w:rPr>
        <w:t>以</w:t>
      </w:r>
      <w:r>
        <w:rPr>
          <w:rFonts w:hint="eastAsia" w:ascii="Times New Roman"/>
          <w:highlight w:val="none"/>
          <w:lang w:val="en-US" w:eastAsia="zh-CN"/>
        </w:rPr>
        <w:t>2个单元的玻璃</w:t>
      </w:r>
      <w:r>
        <w:rPr>
          <w:rFonts w:hint="eastAsia" w:ascii="Times New Roman"/>
          <w:highlight w:val="none"/>
        </w:rPr>
        <w:t>幕墙作为一个色差检验组，每组选取5个检验点，每</w:t>
      </w:r>
      <w:r>
        <w:rPr>
          <w:rFonts w:hint="eastAsia" w:ascii="Times New Roman"/>
          <w:highlight w:val="none"/>
          <w:lang w:val="en-US" w:eastAsia="zh-CN"/>
        </w:rPr>
        <w:t>单元</w:t>
      </w:r>
      <w:r>
        <w:rPr>
          <w:rFonts w:hint="eastAsia" w:ascii="Times New Roman"/>
          <w:highlight w:val="none"/>
        </w:rPr>
        <w:t>应至少包含一个检验点，检验点的分布均匀</w:t>
      </w:r>
      <w:r>
        <w:rPr>
          <w:rFonts w:hint="eastAsia" w:ascii="Times New Roman"/>
          <w:highlight w:val="none"/>
          <w:lang w:val="en-US" w:eastAsia="zh-CN"/>
        </w:rPr>
        <w:t>并优先选择单元的中心区域</w:t>
      </w:r>
      <w:r>
        <w:rPr>
          <w:rFonts w:hint="eastAsia" w:ascii="Times New Roman"/>
          <w:highlight w:val="none"/>
        </w:rPr>
        <w:t>；</w:t>
      </w:r>
    </w:p>
    <w:p w14:paraId="6B0826FC">
      <w:pPr>
        <w:pStyle w:val="60"/>
        <w:numPr>
          <w:ilvl w:val="0"/>
          <w:numId w:val="34"/>
        </w:numPr>
        <w:spacing w:line="360" w:lineRule="auto"/>
        <w:ind w:firstLine="420"/>
        <w:rPr>
          <w:rFonts w:ascii="Times New Roman"/>
          <w:highlight w:val="none"/>
        </w:rPr>
      </w:pPr>
      <w:r>
        <w:rPr>
          <w:rFonts w:hint="eastAsia" w:ascii="Times New Roman"/>
          <w:highlight w:val="none"/>
        </w:rPr>
        <w:t>有色差问题的玻璃幕墙部位都应包含在检验组内；</w:t>
      </w:r>
    </w:p>
    <w:p w14:paraId="68BBF5A3">
      <w:pPr>
        <w:pStyle w:val="109"/>
        <w:spacing w:before="156" w:after="156"/>
        <w:rPr>
          <w:rFonts w:ascii="Times New Roman"/>
        </w:rPr>
      </w:pPr>
      <w:bookmarkStart w:id="105" w:name="_Toc12723"/>
      <w:bookmarkStart w:id="106" w:name="_Toc16475"/>
      <w:bookmarkStart w:id="107" w:name="_Toc14300"/>
      <w:bookmarkStart w:id="108" w:name="_Toc13436"/>
      <w:r>
        <w:rPr>
          <w:rFonts w:hint="eastAsia" w:ascii="Times New Roman"/>
        </w:rPr>
        <w:t>镜面光泽</w:t>
      </w:r>
      <w:bookmarkEnd w:id="105"/>
      <w:bookmarkEnd w:id="106"/>
      <w:r>
        <w:rPr>
          <w:rFonts w:hint="eastAsia" w:ascii="Times New Roman"/>
        </w:rPr>
        <w:t>度</w:t>
      </w:r>
      <w:bookmarkEnd w:id="107"/>
      <w:bookmarkEnd w:id="108"/>
    </w:p>
    <w:p w14:paraId="0DCB6E0C">
      <w:pPr>
        <w:pStyle w:val="60"/>
        <w:spacing w:line="360" w:lineRule="auto"/>
        <w:ind w:firstLine="420"/>
        <w:rPr>
          <w:rFonts w:ascii="Times New Roman"/>
        </w:rPr>
      </w:pPr>
      <w:r>
        <w:rPr>
          <w:rFonts w:hint="eastAsia" w:ascii="Times New Roman"/>
        </w:rPr>
        <w:t>外表面为散射特性的幕墙材料，如压花玻璃、磨砂玻璃和彩釉玻璃及金属面板的镜面光泽度可按照GB/T 20503的规定进行检测。</w:t>
      </w:r>
    </w:p>
    <w:p w14:paraId="50497130">
      <w:pPr>
        <w:pStyle w:val="60"/>
        <w:spacing w:line="360" w:lineRule="auto"/>
        <w:ind w:firstLine="360"/>
        <w:rPr>
          <w:rFonts w:ascii="Times New Roman"/>
          <w:sz w:val="18"/>
          <w:szCs w:val="16"/>
        </w:rPr>
      </w:pPr>
      <w:r>
        <w:rPr>
          <w:rFonts w:hint="eastAsia" w:ascii="Times New Roman"/>
          <w:sz w:val="18"/>
          <w:szCs w:val="16"/>
        </w:rPr>
        <w:t>注：测试条件为入射角和反射角均为60°。</w:t>
      </w:r>
    </w:p>
    <w:p w14:paraId="2C882C6F">
      <w:pPr>
        <w:pStyle w:val="108"/>
        <w:spacing w:before="312" w:after="312"/>
        <w:rPr>
          <w:rFonts w:ascii="Times New Roman"/>
        </w:rPr>
      </w:pPr>
      <w:bookmarkStart w:id="109" w:name="_Toc30191"/>
      <w:bookmarkStart w:id="110" w:name="_Toc19841"/>
      <w:r>
        <w:rPr>
          <w:rFonts w:hint="eastAsia" w:ascii="Times New Roman"/>
        </w:rPr>
        <w:t>反射光</w:t>
      </w:r>
      <w:bookmarkEnd w:id="109"/>
      <w:r>
        <w:rPr>
          <w:rFonts w:hint="eastAsia" w:ascii="Times New Roman"/>
          <w:lang w:val="en-US" w:eastAsia="zh-CN"/>
        </w:rPr>
        <w:t>评价</w:t>
      </w:r>
      <w:bookmarkEnd w:id="110"/>
    </w:p>
    <w:p w14:paraId="7F1D6AAC">
      <w:pPr>
        <w:pStyle w:val="109"/>
        <w:spacing w:before="0" w:beforeLines="0" w:after="0" w:afterLines="0" w:line="360" w:lineRule="auto"/>
        <w:rPr>
          <w:rFonts w:ascii="Times New Roman" w:eastAsia="宋体"/>
        </w:rPr>
      </w:pPr>
      <w:bookmarkStart w:id="111" w:name="_Toc4750"/>
      <w:bookmarkStart w:id="112" w:name="_Toc30502"/>
      <w:bookmarkStart w:id="113" w:name="_Toc10674"/>
      <w:bookmarkStart w:id="114" w:name="_Toc11343"/>
      <w:r>
        <w:rPr>
          <w:rFonts w:hint="eastAsia" w:ascii="Times New Roman"/>
          <w:lang w:val="en-US" w:eastAsia="zh-CN"/>
        </w:rPr>
        <w:t>分析范围</w:t>
      </w:r>
      <w:bookmarkEnd w:id="111"/>
      <w:bookmarkEnd w:id="112"/>
      <w:bookmarkEnd w:id="113"/>
      <w:bookmarkEnd w:id="114"/>
    </w:p>
    <w:p w14:paraId="52BDBAA5">
      <w:pPr>
        <w:pStyle w:val="169"/>
        <w:spacing w:line="360" w:lineRule="auto"/>
        <w:rPr>
          <w:rFonts w:hint="eastAsia" w:ascii="Times New Roman"/>
        </w:rPr>
      </w:pPr>
      <w:r>
        <w:rPr>
          <w:rFonts w:hint="eastAsia" w:ascii="Times New Roman"/>
          <w:lang w:val="en-US" w:eastAsia="zh-CN"/>
        </w:rPr>
        <w:t>玻璃</w:t>
      </w:r>
      <w:r>
        <w:rPr>
          <w:rFonts w:hint="eastAsia" w:ascii="Times New Roman"/>
        </w:rPr>
        <w:t>幕墙垂直</w:t>
      </w:r>
      <w:r>
        <w:rPr>
          <w:rFonts w:hint="eastAsia" w:ascii="Times New Roman"/>
          <w:lang w:val="en-US" w:eastAsia="zh-CN"/>
        </w:rPr>
        <w:t>设置时</w:t>
      </w:r>
      <w:r>
        <w:rPr>
          <w:rFonts w:hint="eastAsia" w:ascii="Times New Roman"/>
        </w:rPr>
        <w:t>，</w:t>
      </w:r>
      <w:r>
        <w:rPr>
          <w:rFonts w:hint="eastAsia" w:ascii="Times New Roman" w:hAnsi="Times New Roman" w:eastAsia="宋体" w:cs="Times New Roman"/>
          <w:kern w:val="0"/>
          <w:sz w:val="21"/>
          <w:szCs w:val="20"/>
          <w:lang w:val="en-US" w:eastAsia="zh-CN" w:bidi="ar"/>
        </w:rPr>
        <w:t>其反射光影响分析范围为建筑外墙投影外延 5 倍玻璃幕墙最高高度距离的范围</w:t>
      </w:r>
      <w:r>
        <w:rPr>
          <w:rFonts w:hint="eastAsia" w:ascii="Times New Roman"/>
          <w:lang w:eastAsia="zh-CN"/>
        </w:rPr>
        <w:t>。</w:t>
      </w:r>
    </w:p>
    <w:p w14:paraId="02ED0338">
      <w:pPr>
        <w:pStyle w:val="169"/>
        <w:spacing w:line="360" w:lineRule="auto"/>
        <w:rPr>
          <w:rFonts w:hint="eastAsia" w:ascii="Times New Roman"/>
        </w:rPr>
      </w:pPr>
      <w:r>
        <w:rPr>
          <w:rFonts w:hint="eastAsia" w:ascii="Times New Roman"/>
          <w:lang w:val="en-US" w:eastAsia="zh-CN"/>
        </w:rPr>
        <w:t>玻璃幕墙倾斜设置时，</w:t>
      </w:r>
      <w:r>
        <w:rPr>
          <w:rFonts w:hint="eastAsia" w:ascii="Times New Roman"/>
        </w:rPr>
        <w:t>分析范围</w:t>
      </w:r>
      <w:r>
        <w:rPr>
          <w:rFonts w:hint="eastAsia" w:ascii="Times New Roman"/>
          <w:lang w:val="en-US" w:eastAsia="zh-CN"/>
        </w:rPr>
        <w:t>应为</w:t>
      </w:r>
      <w:r>
        <w:rPr>
          <w:rFonts w:hint="eastAsia" w:ascii="Times New Roman"/>
        </w:rPr>
        <w:t>反射光</w:t>
      </w:r>
      <w:r>
        <w:rPr>
          <w:rFonts w:hint="eastAsia" w:ascii="Times New Roman"/>
          <w:lang w:val="en-US" w:eastAsia="zh-CN"/>
        </w:rPr>
        <w:t>实际影响的范围</w:t>
      </w:r>
      <w:r>
        <w:rPr>
          <w:rFonts w:hint="eastAsia" w:ascii="Times New Roman"/>
        </w:rPr>
        <w:t>。</w:t>
      </w:r>
    </w:p>
    <w:p w14:paraId="6B3D2499">
      <w:pPr>
        <w:pStyle w:val="109"/>
        <w:spacing w:line="360" w:lineRule="auto"/>
        <w:rPr>
          <w:rFonts w:hint="eastAsia" w:ascii="Times New Roman"/>
        </w:rPr>
      </w:pPr>
      <w:bookmarkStart w:id="115" w:name="_Toc1695"/>
      <w:r>
        <w:rPr>
          <w:rFonts w:hint="eastAsia" w:ascii="Times New Roman"/>
          <w:lang w:val="en-US" w:eastAsia="zh-CN"/>
        </w:rPr>
        <w:t>敏感对象</w:t>
      </w:r>
      <w:bookmarkEnd w:id="115"/>
    </w:p>
    <w:p w14:paraId="558273AE">
      <w:pPr>
        <w:pStyle w:val="169"/>
        <w:spacing w:line="360" w:lineRule="auto"/>
        <w:rPr>
          <w:rFonts w:ascii="Times New Roman"/>
        </w:rPr>
      </w:pPr>
      <w:r>
        <w:rPr>
          <w:rFonts w:hint="eastAsia" w:ascii="Times New Roman"/>
        </w:rPr>
        <w:t>敏感对象应包括分析范围内的</w:t>
      </w:r>
      <w:r>
        <w:rPr>
          <w:rFonts w:hint="eastAsia" w:ascii="Times New Roman"/>
          <w:lang w:val="en-US" w:eastAsia="zh-CN"/>
        </w:rPr>
        <w:t>敏感建筑和主要道路。敏感建筑应包括</w:t>
      </w:r>
      <w:r>
        <w:rPr>
          <w:rFonts w:hint="eastAsia" w:ascii="Times New Roman"/>
        </w:rPr>
        <w:t>已建、在建</w:t>
      </w:r>
      <w:r>
        <w:rPr>
          <w:rFonts w:hint="eastAsia" w:ascii="Times New Roman"/>
          <w:lang w:eastAsia="zh-CN"/>
        </w:rPr>
        <w:t>、</w:t>
      </w:r>
      <w:r>
        <w:rPr>
          <w:rFonts w:hint="eastAsia" w:ascii="Times New Roman"/>
          <w:lang w:val="en-US" w:eastAsia="zh-CN"/>
        </w:rPr>
        <w:t>拟建的</w:t>
      </w:r>
      <w:r>
        <w:rPr>
          <w:rFonts w:hint="eastAsia" w:ascii="Times New Roman"/>
        </w:rPr>
        <w:t>居住建筑、医院、中小学校及幼儿园</w:t>
      </w:r>
      <w:r>
        <w:rPr>
          <w:rFonts w:hint="eastAsia" w:ascii="Times New Roman"/>
          <w:lang w:val="en-US" w:eastAsia="zh-CN"/>
        </w:rPr>
        <w:t>等</w:t>
      </w:r>
      <w:r>
        <w:rPr>
          <w:rFonts w:hint="eastAsia" w:ascii="Times New Roman"/>
          <w:lang w:eastAsia="zh-CN"/>
        </w:rPr>
        <w:t>；</w:t>
      </w:r>
      <w:r>
        <w:rPr>
          <w:rFonts w:hint="eastAsia" w:ascii="Times New Roman"/>
          <w:lang w:val="en-US" w:eastAsia="zh-CN"/>
        </w:rPr>
        <w:t>主要道路应包括城市</w:t>
      </w:r>
      <w:r>
        <w:rPr>
          <w:rFonts w:hint="eastAsia" w:ascii="Times New Roman"/>
        </w:rPr>
        <w:t>快速路、主干路和次干路等。</w:t>
      </w:r>
    </w:p>
    <w:p w14:paraId="089CBFAB">
      <w:pPr>
        <w:pStyle w:val="169"/>
        <w:spacing w:line="360" w:lineRule="auto"/>
        <w:rPr>
          <w:rFonts w:ascii="Times New Roman"/>
        </w:rPr>
      </w:pPr>
      <w:r>
        <w:rPr>
          <w:rFonts w:hint="eastAsia"/>
          <w:lang w:val="en-US" w:eastAsia="zh-CN"/>
        </w:rPr>
        <w:t>当规划建筑有要求时，</w:t>
      </w:r>
      <w:r>
        <w:rPr>
          <w:rFonts w:hint="eastAsia" w:ascii="Times New Roman"/>
        </w:rPr>
        <w:t>分析影响范围内</w:t>
      </w:r>
      <w:r>
        <w:rPr>
          <w:rFonts w:hint="eastAsia" w:ascii="Times New Roman"/>
          <w:lang w:val="en-US" w:eastAsia="zh-CN"/>
        </w:rPr>
        <w:t>规划建筑也应作为</w:t>
      </w:r>
      <w:r>
        <w:rPr>
          <w:rFonts w:hint="eastAsia" w:ascii="Times New Roman"/>
        </w:rPr>
        <w:t xml:space="preserve">敏感对象。 </w:t>
      </w:r>
    </w:p>
    <w:p w14:paraId="5CDFF615">
      <w:pPr>
        <w:pStyle w:val="109"/>
        <w:spacing w:line="360" w:lineRule="auto"/>
        <w:rPr>
          <w:rFonts w:hint="eastAsia" w:ascii="Times New Roman"/>
        </w:rPr>
      </w:pPr>
      <w:bookmarkStart w:id="116" w:name="_Toc20914"/>
      <w:r>
        <w:rPr>
          <w:rFonts w:hint="eastAsia" w:ascii="Times New Roman"/>
          <w:lang w:val="en-US" w:eastAsia="zh-CN"/>
        </w:rPr>
        <w:t>计算</w:t>
      </w:r>
    </w:p>
    <w:p w14:paraId="0C19EC85">
      <w:pPr>
        <w:pStyle w:val="169"/>
        <w:spacing w:line="360" w:lineRule="auto"/>
        <w:rPr>
          <w:rFonts w:hint="eastAsia" w:ascii="宋体" w:eastAsia="宋体"/>
        </w:rPr>
      </w:pPr>
      <w:r>
        <w:rPr>
          <w:rFonts w:hint="eastAsia" w:ascii="宋体" w:eastAsia="宋体"/>
          <w:lang w:val="en-US" w:eastAsia="zh-CN"/>
        </w:rPr>
        <w:t>应</w:t>
      </w:r>
      <w:r>
        <w:rPr>
          <w:rFonts w:hint="eastAsia" w:ascii="宋体" w:eastAsia="宋体"/>
        </w:rPr>
        <w:t>逐一对敏感对象</w:t>
      </w:r>
      <w:r>
        <w:rPr>
          <w:rFonts w:hint="eastAsia" w:ascii="宋体" w:eastAsia="宋体"/>
          <w:lang w:val="en-US" w:eastAsia="zh-CN"/>
        </w:rPr>
        <w:t>进行24个</w:t>
      </w:r>
      <w:r>
        <w:rPr>
          <w:rFonts w:hint="eastAsia" w:ascii="宋体" w:eastAsia="宋体"/>
        </w:rPr>
        <w:t>典型分析日</w:t>
      </w:r>
      <w:r>
        <w:rPr>
          <w:rFonts w:hint="eastAsia" w:ascii="宋体" w:eastAsia="宋体"/>
          <w:lang w:val="en-US" w:eastAsia="zh-CN"/>
        </w:rPr>
        <w:t>分析</w:t>
      </w:r>
      <w:r>
        <w:rPr>
          <w:rFonts w:hint="eastAsia" w:ascii="宋体" w:eastAsia="宋体"/>
          <w:lang w:eastAsia="zh-CN"/>
        </w:rPr>
        <w:t>，</w:t>
      </w:r>
      <w:r>
        <w:rPr>
          <w:rFonts w:hint="eastAsia" w:ascii="宋体" w:eastAsia="宋体"/>
          <w:lang w:val="en-US" w:eastAsia="zh-CN"/>
        </w:rPr>
        <w:t>并应按4.3进行判定。</w:t>
      </w:r>
      <w:bookmarkEnd w:id="116"/>
    </w:p>
    <w:p w14:paraId="2B96B087">
      <w:pPr>
        <w:pStyle w:val="169"/>
        <w:spacing w:line="360" w:lineRule="auto"/>
        <w:rPr>
          <w:rFonts w:hint="eastAsia" w:ascii="宋体" w:eastAsia="宋体"/>
        </w:rPr>
      </w:pPr>
      <w:bookmarkStart w:id="117" w:name="_Toc26594"/>
      <w:r>
        <w:rPr>
          <w:rFonts w:hint="eastAsia" w:ascii="宋体" w:eastAsia="宋体"/>
          <w:lang w:val="en-US" w:eastAsia="zh-CN"/>
        </w:rPr>
        <w:t>典型分析日</w:t>
      </w:r>
      <w:r>
        <w:rPr>
          <w:rFonts w:hint="eastAsia" w:ascii="宋体" w:eastAsia="宋体"/>
          <w:lang w:eastAsia="zh-CN"/>
        </w:rPr>
        <w:t>、</w:t>
      </w:r>
      <w:r>
        <w:rPr>
          <w:rFonts w:hint="eastAsia" w:ascii="宋体" w:eastAsia="宋体"/>
          <w:lang w:val="en-US" w:eastAsia="zh-CN"/>
        </w:rPr>
        <w:t>计算起止时间、</w:t>
      </w:r>
      <w:r>
        <w:rPr>
          <w:rFonts w:hint="eastAsia" w:ascii="宋体" w:eastAsia="宋体"/>
        </w:rPr>
        <w:t>计算时间间隔</w:t>
      </w:r>
      <w:r>
        <w:rPr>
          <w:rFonts w:hint="eastAsia" w:ascii="宋体" w:eastAsia="宋体"/>
          <w:lang w:eastAsia="zh-CN"/>
        </w:rPr>
        <w:t>、</w:t>
      </w:r>
      <w:r>
        <w:rPr>
          <w:rFonts w:hint="eastAsia" w:ascii="宋体" w:eastAsia="宋体"/>
          <w:lang w:val="en-US" w:eastAsia="zh-CN"/>
        </w:rPr>
        <w:t>采样点间距、计算对象、计算点位置等计算参数的设置应符合</w:t>
      </w:r>
      <w:r>
        <w:rPr>
          <w:rFonts w:hint="eastAsia" w:ascii="宋体" w:eastAsia="宋体"/>
        </w:rPr>
        <w:t>附录B</w:t>
      </w:r>
      <w:r>
        <w:rPr>
          <w:rFonts w:hint="eastAsia" w:ascii="宋体" w:eastAsia="宋体"/>
          <w:lang w:val="en-US" w:eastAsia="zh-CN"/>
        </w:rPr>
        <w:t>的规定</w:t>
      </w:r>
      <w:r>
        <w:rPr>
          <w:rFonts w:hint="eastAsia" w:ascii="宋体" w:eastAsia="宋体"/>
        </w:rPr>
        <w:t>。</w:t>
      </w:r>
      <w:bookmarkEnd w:id="117"/>
    </w:p>
    <w:p w14:paraId="7E984845">
      <w:pPr>
        <w:pStyle w:val="169"/>
        <w:rPr>
          <w:rFonts w:hint="eastAsia" w:ascii="宋体" w:eastAsia="宋体"/>
        </w:rPr>
      </w:pPr>
      <w:r>
        <w:rPr>
          <w:rFonts w:hint="eastAsia" w:ascii="宋体" w:eastAsia="宋体"/>
        </w:rPr>
        <w:t>玻璃幕墙反射光分析时应考虑既有玻璃幕墙建筑反射光叠加的影响。</w:t>
      </w:r>
    </w:p>
    <w:p w14:paraId="22749823">
      <w:pPr>
        <w:pStyle w:val="109"/>
        <w:spacing w:line="360" w:lineRule="auto"/>
        <w:rPr>
          <w:rFonts w:hint="eastAsia" w:ascii="Times New Roman"/>
        </w:rPr>
      </w:pPr>
      <w:bookmarkStart w:id="118" w:name="_Toc28360"/>
      <w:r>
        <w:rPr>
          <w:rFonts w:hint="eastAsia" w:ascii="Times New Roman"/>
          <w:lang w:val="en-US" w:eastAsia="zh-CN"/>
        </w:rPr>
        <w:t>眩光评价</w:t>
      </w:r>
    </w:p>
    <w:p w14:paraId="2520A123">
      <w:pPr>
        <w:pStyle w:val="60"/>
        <w:numPr>
          <w:ilvl w:val="-1"/>
          <w:numId w:val="0"/>
        </w:numPr>
        <w:ind w:firstLine="420"/>
        <w:rPr>
          <w:rFonts w:hint="eastAsia" w:ascii="Times New Roman" w:eastAsia="宋体"/>
        </w:rPr>
      </w:pPr>
      <w:r>
        <w:rPr>
          <w:rFonts w:hint="eastAsia" w:ascii="Times New Roman" w:eastAsia="宋体"/>
          <w:lang w:val="en-US" w:eastAsia="zh-CN"/>
        </w:rPr>
        <w:t>分析</w:t>
      </w:r>
      <w:r>
        <w:rPr>
          <w:rFonts w:hint="eastAsia" w:ascii="Times New Roman" w:eastAsia="宋体"/>
        </w:rPr>
        <w:t>反射光</w:t>
      </w:r>
      <w:r>
        <w:rPr>
          <w:rFonts w:hint="eastAsia" w:ascii="Times New Roman" w:eastAsia="宋体"/>
          <w:lang w:val="en-US" w:eastAsia="zh-CN"/>
        </w:rPr>
        <w:t>对</w:t>
      </w:r>
      <w:r>
        <w:rPr>
          <w:rFonts w:hint="eastAsia" w:ascii="Times New Roman" w:eastAsia="宋体"/>
        </w:rPr>
        <w:t>驾驶员</w:t>
      </w:r>
      <w:r>
        <w:rPr>
          <w:rFonts w:hint="eastAsia" w:ascii="Times New Roman" w:eastAsia="宋体"/>
          <w:lang w:val="en-US" w:eastAsia="zh-CN"/>
        </w:rPr>
        <w:t>干扰</w:t>
      </w:r>
      <w:r>
        <w:rPr>
          <w:rFonts w:hint="eastAsia" w:ascii="Times New Roman" w:eastAsia="宋体"/>
        </w:rPr>
        <w:t>时，</w:t>
      </w:r>
      <w:r>
        <w:rPr>
          <w:rFonts w:hint="eastAsia" w:ascii="Times New Roman" w:eastAsia="宋体"/>
          <w:lang w:val="en-US" w:eastAsia="zh-CN"/>
        </w:rPr>
        <w:t>也</w:t>
      </w:r>
      <w:r>
        <w:rPr>
          <w:rFonts w:hint="eastAsia" w:ascii="Times New Roman" w:eastAsia="宋体"/>
        </w:rPr>
        <w:t>可参照附录C进行眩光判定。</w:t>
      </w:r>
      <w:bookmarkEnd w:id="118"/>
    </w:p>
    <w:p w14:paraId="1CE15CF9">
      <w:pPr>
        <w:pStyle w:val="109"/>
        <w:spacing w:line="360" w:lineRule="auto"/>
        <w:rPr>
          <w:rFonts w:hint="eastAsia" w:ascii="Times New Roman"/>
        </w:rPr>
      </w:pPr>
      <w:bookmarkStart w:id="119" w:name="_Toc7850"/>
      <w:bookmarkStart w:id="120" w:name="_Toc11618"/>
      <w:bookmarkStart w:id="121" w:name="_Hlk181967711"/>
      <w:bookmarkStart w:id="122" w:name="_Toc30591"/>
      <w:bookmarkStart w:id="123" w:name="_Toc21268"/>
      <w:r>
        <w:rPr>
          <w:rFonts w:hint="eastAsia" w:ascii="Times New Roman"/>
          <w:lang w:val="en-US" w:eastAsia="zh-CN"/>
        </w:rPr>
        <w:t>聚光分析</w:t>
      </w:r>
    </w:p>
    <w:p w14:paraId="7021EFB9">
      <w:pPr>
        <w:pStyle w:val="60"/>
        <w:numPr>
          <w:ilvl w:val="-1"/>
          <w:numId w:val="0"/>
        </w:numPr>
        <w:ind w:firstLine="420" w:firstLineChars="0"/>
        <w:rPr>
          <w:rFonts w:hint="eastAsia" w:ascii="Times New Roman" w:eastAsia="宋体"/>
        </w:rPr>
      </w:pPr>
      <w:r>
        <w:rPr>
          <w:rFonts w:hint="eastAsia" w:ascii="Times New Roman" w:eastAsia="宋体"/>
        </w:rPr>
        <w:t>玻璃幕墙应进行聚光分析，如有聚光风险，应给出聚</w:t>
      </w:r>
      <w:r>
        <w:rPr>
          <w:rFonts w:hint="eastAsia" w:ascii="Times New Roman" w:eastAsia="宋体"/>
          <w:lang w:val="en-US" w:eastAsia="zh-CN"/>
        </w:rPr>
        <w:t>光</w:t>
      </w:r>
      <w:r>
        <w:rPr>
          <w:rFonts w:hint="eastAsia" w:ascii="Times New Roman" w:eastAsia="宋体"/>
        </w:rPr>
        <w:t>点位置、产生聚</w:t>
      </w:r>
      <w:r>
        <w:rPr>
          <w:rFonts w:hint="eastAsia" w:ascii="Times New Roman" w:eastAsia="宋体"/>
          <w:lang w:val="en-US" w:eastAsia="zh-CN"/>
        </w:rPr>
        <w:t>光</w:t>
      </w:r>
      <w:r>
        <w:rPr>
          <w:rFonts w:hint="eastAsia" w:ascii="Times New Roman" w:eastAsia="宋体"/>
        </w:rPr>
        <w:t>的时间和强度。</w:t>
      </w:r>
      <w:bookmarkEnd w:id="119"/>
      <w:bookmarkEnd w:id="120"/>
      <w:bookmarkEnd w:id="121"/>
      <w:bookmarkEnd w:id="122"/>
      <w:bookmarkEnd w:id="123"/>
    </w:p>
    <w:p w14:paraId="5B7097BF">
      <w:pPr>
        <w:pStyle w:val="109"/>
        <w:spacing w:line="360" w:lineRule="auto"/>
        <w:rPr>
          <w:rFonts w:hint="eastAsia" w:ascii="Times New Roman"/>
        </w:rPr>
      </w:pPr>
      <w:bookmarkStart w:id="124" w:name="_Toc5571"/>
      <w:bookmarkStart w:id="125" w:name="_Toc24377"/>
      <w:bookmarkStart w:id="126" w:name="_Toc3813"/>
      <w:bookmarkStart w:id="127" w:name="_Toc87459573"/>
      <w:bookmarkStart w:id="128" w:name="_Toc30788"/>
      <w:r>
        <w:rPr>
          <w:rFonts w:hint="eastAsia" w:ascii="Times New Roman"/>
          <w:lang w:val="en-US" w:eastAsia="zh-CN"/>
        </w:rPr>
        <w:t>分析软件</w:t>
      </w:r>
    </w:p>
    <w:p w14:paraId="69C0D491">
      <w:pPr>
        <w:pStyle w:val="60"/>
        <w:numPr>
          <w:ilvl w:val="-1"/>
          <w:numId w:val="0"/>
        </w:numPr>
        <w:ind w:firstLine="420"/>
        <w:rPr>
          <w:rFonts w:ascii="Times New Roman" w:eastAsia="宋体"/>
        </w:rPr>
      </w:pPr>
      <w:r>
        <w:rPr>
          <w:rFonts w:hint="eastAsia" w:ascii="Times New Roman" w:eastAsia="宋体"/>
        </w:rPr>
        <w:t>玻璃幕墙反射光分析应采用通过</w:t>
      </w:r>
      <w:r>
        <w:rPr>
          <w:rFonts w:hint="eastAsia" w:ascii="Times New Roman" w:eastAsia="宋体"/>
          <w:lang w:val="en-US" w:eastAsia="zh-CN"/>
        </w:rPr>
        <w:t>验证和评估</w:t>
      </w:r>
      <w:r>
        <w:rPr>
          <w:rFonts w:hint="eastAsia" w:ascii="Times New Roman" w:eastAsia="宋体"/>
        </w:rPr>
        <w:t>的专业分析软件。</w:t>
      </w:r>
      <w:bookmarkEnd w:id="124"/>
      <w:bookmarkEnd w:id="125"/>
      <w:bookmarkEnd w:id="126"/>
      <w:bookmarkEnd w:id="127"/>
      <w:bookmarkEnd w:id="128"/>
    </w:p>
    <w:p w14:paraId="0B5B981E">
      <w:pPr>
        <w:pStyle w:val="108"/>
        <w:spacing w:before="312" w:after="312"/>
        <w:rPr>
          <w:rFonts w:ascii="Times New Roman"/>
        </w:rPr>
      </w:pPr>
      <w:bookmarkStart w:id="129" w:name="_Toc799"/>
      <w:bookmarkStart w:id="130" w:name="_Toc1284"/>
      <w:bookmarkStart w:id="131" w:name="_Toc87459563"/>
      <w:r>
        <w:rPr>
          <w:rFonts w:hint="eastAsia" w:ascii="Times New Roman"/>
        </w:rPr>
        <w:t>报告</w:t>
      </w:r>
      <w:bookmarkEnd w:id="129"/>
      <w:bookmarkEnd w:id="130"/>
    </w:p>
    <w:p w14:paraId="53E7705E">
      <w:pPr>
        <w:pStyle w:val="109"/>
        <w:spacing w:before="156" w:after="156" w:line="360" w:lineRule="auto"/>
        <w:rPr>
          <w:rFonts w:ascii="Times New Roman" w:eastAsia="宋体"/>
        </w:rPr>
      </w:pPr>
      <w:bookmarkStart w:id="132" w:name="_Toc10196"/>
      <w:bookmarkStart w:id="133" w:name="_Toc3766"/>
      <w:bookmarkStart w:id="134" w:name="_Toc19329"/>
      <w:bookmarkStart w:id="135" w:name="_Toc3594"/>
      <w:r>
        <w:rPr>
          <w:rFonts w:hint="eastAsia" w:ascii="Times New Roman" w:eastAsia="宋体"/>
        </w:rPr>
        <w:t>玻璃幕墙光热性能检测报告应包括下列信息：</w:t>
      </w:r>
      <w:bookmarkEnd w:id="132"/>
      <w:bookmarkEnd w:id="133"/>
      <w:bookmarkEnd w:id="134"/>
      <w:bookmarkEnd w:id="135"/>
    </w:p>
    <w:p w14:paraId="70CEAC33">
      <w:pPr>
        <w:pStyle w:val="60"/>
        <w:numPr>
          <w:ilvl w:val="0"/>
          <w:numId w:val="35"/>
        </w:numPr>
        <w:spacing w:line="360" w:lineRule="auto"/>
        <w:ind w:firstLine="420"/>
        <w:rPr>
          <w:rFonts w:ascii="Times New Roman"/>
        </w:rPr>
      </w:pPr>
      <w:r>
        <w:rPr>
          <w:rFonts w:hint="eastAsia" w:ascii="Times New Roman"/>
        </w:rPr>
        <w:t>项目名称和地址；</w:t>
      </w:r>
    </w:p>
    <w:p w14:paraId="43B10981">
      <w:pPr>
        <w:pStyle w:val="60"/>
        <w:numPr>
          <w:ilvl w:val="0"/>
          <w:numId w:val="35"/>
        </w:numPr>
        <w:spacing w:line="360" w:lineRule="auto"/>
        <w:ind w:firstLine="420"/>
        <w:rPr>
          <w:rFonts w:ascii="Times New Roman"/>
        </w:rPr>
      </w:pPr>
      <w:r>
        <w:rPr>
          <w:rFonts w:hint="eastAsia" w:ascii="Times New Roman"/>
        </w:rPr>
        <w:t>委托方名称和信息；</w:t>
      </w:r>
    </w:p>
    <w:p w14:paraId="79C65FC5">
      <w:pPr>
        <w:pStyle w:val="60"/>
        <w:numPr>
          <w:ilvl w:val="0"/>
          <w:numId w:val="35"/>
        </w:numPr>
        <w:spacing w:line="360" w:lineRule="auto"/>
        <w:ind w:firstLine="420"/>
        <w:rPr>
          <w:rFonts w:ascii="Times New Roman"/>
        </w:rPr>
      </w:pPr>
      <w:r>
        <w:rPr>
          <w:rFonts w:hint="eastAsia" w:ascii="Times New Roman"/>
        </w:rPr>
        <w:t>检测单位名称和信息；</w:t>
      </w:r>
    </w:p>
    <w:p w14:paraId="4A54F476">
      <w:pPr>
        <w:pStyle w:val="60"/>
        <w:numPr>
          <w:ilvl w:val="0"/>
          <w:numId w:val="35"/>
        </w:numPr>
        <w:spacing w:line="360" w:lineRule="auto"/>
        <w:ind w:firstLine="420"/>
        <w:rPr>
          <w:rFonts w:ascii="Times New Roman"/>
        </w:rPr>
      </w:pPr>
      <w:r>
        <w:rPr>
          <w:rFonts w:hint="eastAsia" w:ascii="Times New Roman"/>
        </w:rPr>
        <w:t>玻璃幕墙的描述；</w:t>
      </w:r>
    </w:p>
    <w:p w14:paraId="38334249">
      <w:pPr>
        <w:pStyle w:val="60"/>
        <w:numPr>
          <w:ilvl w:val="0"/>
          <w:numId w:val="35"/>
        </w:numPr>
        <w:spacing w:line="360" w:lineRule="auto"/>
        <w:ind w:firstLine="420"/>
        <w:rPr>
          <w:rFonts w:ascii="Times New Roman"/>
        </w:rPr>
      </w:pPr>
      <w:r>
        <w:rPr>
          <w:rFonts w:hint="eastAsia" w:ascii="Times New Roman"/>
        </w:rPr>
        <w:t>检测环境的描述；</w:t>
      </w:r>
    </w:p>
    <w:p w14:paraId="2182C82F">
      <w:pPr>
        <w:pStyle w:val="60"/>
        <w:numPr>
          <w:ilvl w:val="0"/>
          <w:numId w:val="35"/>
        </w:numPr>
        <w:spacing w:line="360" w:lineRule="auto"/>
        <w:ind w:firstLine="420"/>
        <w:rPr>
          <w:rFonts w:ascii="Times New Roman"/>
        </w:rPr>
      </w:pPr>
      <w:r>
        <w:rPr>
          <w:rFonts w:hint="eastAsia" w:ascii="Times New Roman"/>
          <w:lang w:val="en-US" w:eastAsia="zh-CN"/>
        </w:rPr>
        <w:t>所在位置</w:t>
      </w:r>
      <w:r>
        <w:rPr>
          <w:rFonts w:hint="eastAsia" w:ascii="Times New Roman"/>
        </w:rPr>
        <w:t>周围环境</w:t>
      </w:r>
      <w:r>
        <w:rPr>
          <w:rFonts w:hint="eastAsia" w:ascii="Times New Roman"/>
          <w:lang w:val="en-US" w:eastAsia="zh-CN"/>
        </w:rPr>
        <w:t>的现场</w:t>
      </w:r>
      <w:r>
        <w:rPr>
          <w:rFonts w:hint="eastAsia" w:ascii="Times New Roman"/>
        </w:rPr>
        <w:t>照片；</w:t>
      </w:r>
    </w:p>
    <w:p w14:paraId="31466880">
      <w:pPr>
        <w:pStyle w:val="60"/>
        <w:numPr>
          <w:ilvl w:val="0"/>
          <w:numId w:val="35"/>
        </w:numPr>
        <w:spacing w:line="360" w:lineRule="auto"/>
        <w:ind w:firstLine="420"/>
        <w:rPr>
          <w:rFonts w:ascii="Times New Roman"/>
        </w:rPr>
      </w:pPr>
      <w:r>
        <w:rPr>
          <w:rFonts w:hint="eastAsia" w:ascii="Times New Roman"/>
        </w:rPr>
        <w:t>检测方法及依据的标准；</w:t>
      </w:r>
    </w:p>
    <w:p w14:paraId="7523BD87">
      <w:pPr>
        <w:pStyle w:val="60"/>
        <w:numPr>
          <w:ilvl w:val="0"/>
          <w:numId w:val="35"/>
        </w:numPr>
        <w:spacing w:line="360" w:lineRule="auto"/>
        <w:ind w:firstLine="420"/>
        <w:rPr>
          <w:rFonts w:ascii="Times New Roman"/>
        </w:rPr>
      </w:pPr>
      <w:r>
        <w:rPr>
          <w:rFonts w:hint="eastAsia" w:ascii="Times New Roman"/>
        </w:rPr>
        <w:t>检测设备、仪器的型号、编号、计量有效期等信息；</w:t>
      </w:r>
    </w:p>
    <w:p w14:paraId="772AEBBC">
      <w:pPr>
        <w:pStyle w:val="60"/>
        <w:numPr>
          <w:ilvl w:val="0"/>
          <w:numId w:val="35"/>
        </w:numPr>
        <w:spacing w:line="360" w:lineRule="auto"/>
        <w:ind w:firstLine="420"/>
        <w:rPr>
          <w:rFonts w:ascii="Times New Roman"/>
        </w:rPr>
      </w:pPr>
      <w:r>
        <w:rPr>
          <w:rFonts w:hint="eastAsia" w:ascii="Times New Roman"/>
        </w:rPr>
        <w:t>检测结果；</w:t>
      </w:r>
    </w:p>
    <w:p w14:paraId="44A289B3">
      <w:pPr>
        <w:pStyle w:val="60"/>
        <w:numPr>
          <w:ilvl w:val="0"/>
          <w:numId w:val="35"/>
        </w:numPr>
        <w:spacing w:line="360" w:lineRule="auto"/>
        <w:ind w:firstLine="420"/>
        <w:rPr>
          <w:rFonts w:ascii="Times New Roman"/>
        </w:rPr>
      </w:pPr>
      <w:r>
        <w:rPr>
          <w:rFonts w:hint="eastAsia" w:ascii="Times New Roman"/>
        </w:rPr>
        <w:t>附图、附表；</w:t>
      </w:r>
    </w:p>
    <w:p w14:paraId="2A89825A">
      <w:pPr>
        <w:pStyle w:val="60"/>
        <w:numPr>
          <w:ilvl w:val="0"/>
          <w:numId w:val="35"/>
        </w:numPr>
        <w:spacing w:line="360" w:lineRule="auto"/>
        <w:ind w:firstLine="420"/>
        <w:rPr>
          <w:rFonts w:ascii="Times New Roman"/>
        </w:rPr>
      </w:pPr>
      <w:r>
        <w:rPr>
          <w:rFonts w:hint="eastAsia" w:ascii="Times New Roman"/>
        </w:rPr>
        <w:t>报告主检人、审核人和批准人。</w:t>
      </w:r>
    </w:p>
    <w:p w14:paraId="5E4A7920">
      <w:pPr>
        <w:pStyle w:val="109"/>
        <w:spacing w:before="156" w:after="156" w:line="360" w:lineRule="auto"/>
        <w:rPr>
          <w:rFonts w:ascii="Times New Roman"/>
        </w:rPr>
      </w:pPr>
      <w:bookmarkStart w:id="136" w:name="_Toc12631"/>
      <w:bookmarkStart w:id="137" w:name="_Toc3649"/>
      <w:bookmarkStart w:id="138" w:name="_Toc21039"/>
      <w:bookmarkStart w:id="139" w:name="_Toc22589"/>
      <w:r>
        <w:rPr>
          <w:rFonts w:hint="eastAsia" w:ascii="Times New Roman" w:eastAsia="宋体"/>
          <w:lang w:val="en-US" w:eastAsia="zh-CN"/>
        </w:rPr>
        <w:t>玻璃幕墙反射光分析报告</w:t>
      </w:r>
      <w:r>
        <w:rPr>
          <w:rFonts w:hint="eastAsia" w:ascii="Times New Roman" w:eastAsia="宋体"/>
        </w:rPr>
        <w:t>应包括下列信息</w:t>
      </w:r>
      <w:r>
        <w:rPr>
          <w:rFonts w:hint="eastAsia" w:ascii="Times New Roman" w:eastAsia="宋体"/>
          <w:lang w:eastAsia="zh-CN"/>
        </w:rPr>
        <w:t>，</w:t>
      </w:r>
      <w:r>
        <w:rPr>
          <w:rFonts w:hint="eastAsia" w:ascii="Times New Roman" w:eastAsia="宋体"/>
          <w:lang w:val="en-US" w:eastAsia="zh-CN"/>
        </w:rPr>
        <w:t>各项信息的具体内容应符合附录D的要求</w:t>
      </w:r>
      <w:r>
        <w:rPr>
          <w:rFonts w:hint="eastAsia" w:ascii="Times New Roman" w:eastAsia="宋体"/>
        </w:rPr>
        <w:t>：</w:t>
      </w:r>
      <w:bookmarkEnd w:id="136"/>
    </w:p>
    <w:p w14:paraId="62A2FC01">
      <w:pPr>
        <w:pStyle w:val="60"/>
        <w:numPr>
          <w:ilvl w:val="0"/>
          <w:numId w:val="36"/>
        </w:numPr>
        <w:spacing w:line="360" w:lineRule="auto"/>
        <w:ind w:firstLine="420"/>
        <w:rPr>
          <w:rFonts w:ascii="Times New Roman"/>
        </w:rPr>
      </w:pPr>
      <w:r>
        <w:rPr>
          <w:rFonts w:hint="eastAsia" w:ascii="Times New Roman"/>
        </w:rPr>
        <w:t>工程概况；</w:t>
      </w:r>
    </w:p>
    <w:p w14:paraId="32E2366B">
      <w:pPr>
        <w:pStyle w:val="60"/>
        <w:numPr>
          <w:ilvl w:val="0"/>
          <w:numId w:val="36"/>
        </w:numPr>
        <w:spacing w:line="360" w:lineRule="auto"/>
        <w:ind w:firstLine="420"/>
        <w:rPr>
          <w:rFonts w:ascii="Times New Roman"/>
        </w:rPr>
      </w:pPr>
      <w:r>
        <w:rPr>
          <w:rFonts w:hint="eastAsia" w:ascii="Times New Roman"/>
        </w:rPr>
        <w:t>玻璃幕墙信息；</w:t>
      </w:r>
    </w:p>
    <w:p w14:paraId="48FC0E0E">
      <w:pPr>
        <w:pStyle w:val="60"/>
        <w:numPr>
          <w:ilvl w:val="0"/>
          <w:numId w:val="36"/>
        </w:numPr>
        <w:spacing w:line="360" w:lineRule="auto"/>
        <w:ind w:firstLine="420"/>
        <w:rPr>
          <w:rFonts w:ascii="Times New Roman"/>
        </w:rPr>
      </w:pPr>
      <w:r>
        <w:rPr>
          <w:rFonts w:hint="eastAsia" w:ascii="Times New Roman"/>
        </w:rPr>
        <w:t>敏感</w:t>
      </w:r>
      <w:r>
        <w:rPr>
          <w:rFonts w:hint="eastAsia" w:ascii="Times New Roman"/>
          <w:lang w:val="en-US" w:eastAsia="zh-CN"/>
        </w:rPr>
        <w:t>对象</w:t>
      </w:r>
      <w:r>
        <w:rPr>
          <w:rFonts w:hint="eastAsia" w:ascii="Times New Roman"/>
        </w:rPr>
        <w:t>识别；</w:t>
      </w:r>
    </w:p>
    <w:p w14:paraId="4C6ABEA9">
      <w:pPr>
        <w:pStyle w:val="60"/>
        <w:numPr>
          <w:ilvl w:val="0"/>
          <w:numId w:val="36"/>
        </w:numPr>
        <w:spacing w:line="360" w:lineRule="auto"/>
        <w:ind w:firstLine="420"/>
        <w:rPr>
          <w:rFonts w:ascii="Times New Roman"/>
        </w:rPr>
      </w:pPr>
      <w:r>
        <w:rPr>
          <w:rFonts w:hint="eastAsia" w:ascii="Times New Roman"/>
          <w:lang w:val="en-US" w:eastAsia="zh-CN"/>
        </w:rPr>
        <w:t>反射光计算与分析</w:t>
      </w:r>
      <w:r>
        <w:rPr>
          <w:rFonts w:hint="eastAsia" w:ascii="Times New Roman"/>
        </w:rPr>
        <w:t>；</w:t>
      </w:r>
    </w:p>
    <w:p w14:paraId="01B249B6">
      <w:pPr>
        <w:pStyle w:val="60"/>
        <w:numPr>
          <w:ilvl w:val="0"/>
          <w:numId w:val="36"/>
        </w:numPr>
        <w:spacing w:line="360" w:lineRule="auto"/>
        <w:ind w:firstLine="420"/>
        <w:rPr>
          <w:rFonts w:ascii="Times New Roman"/>
        </w:rPr>
      </w:pPr>
      <w:r>
        <w:rPr>
          <w:rFonts w:hint="eastAsia" w:ascii="Times New Roman"/>
          <w:lang w:val="en-US" w:eastAsia="zh-CN"/>
        </w:rPr>
        <w:t>评价结论。</w:t>
      </w:r>
    </w:p>
    <w:bookmarkEnd w:id="131"/>
    <w:bookmarkEnd w:id="137"/>
    <w:bookmarkEnd w:id="138"/>
    <w:bookmarkEnd w:id="139"/>
    <w:p w14:paraId="46737912">
      <w:pPr>
        <w:pStyle w:val="60"/>
        <w:ind w:firstLine="420"/>
        <w:rPr>
          <w:rFonts w:ascii="Times New Roman"/>
        </w:rPr>
      </w:pPr>
    </w:p>
    <w:p w14:paraId="56F86F78">
      <w:pPr>
        <w:pStyle w:val="60"/>
        <w:ind w:firstLine="420"/>
        <w:rPr>
          <w:rFonts w:ascii="Times New Roman"/>
        </w:rPr>
      </w:pPr>
    </w:p>
    <w:p w14:paraId="13D936D2">
      <w:pPr>
        <w:pStyle w:val="60"/>
        <w:ind w:firstLine="420"/>
        <w:rPr>
          <w:rFonts w:ascii="Times New Roman"/>
        </w:rPr>
      </w:pPr>
    </w:p>
    <w:p w14:paraId="0F18E32B">
      <w:pPr>
        <w:pStyle w:val="60"/>
        <w:ind w:firstLine="420"/>
        <w:rPr>
          <w:rFonts w:ascii="Times New Roman"/>
        </w:rPr>
      </w:pPr>
    </w:p>
    <w:p w14:paraId="48CFAA09">
      <w:pPr>
        <w:pStyle w:val="60"/>
        <w:ind w:firstLine="420"/>
        <w:rPr>
          <w:rFonts w:ascii="Times New Roman"/>
        </w:rPr>
      </w:pPr>
    </w:p>
    <w:p w14:paraId="61BAE4B3">
      <w:pPr>
        <w:pStyle w:val="60"/>
        <w:ind w:firstLine="420"/>
        <w:rPr>
          <w:rFonts w:ascii="Times New Roman"/>
        </w:rPr>
      </w:pPr>
    </w:p>
    <w:p w14:paraId="59E4812A">
      <w:pPr>
        <w:pStyle w:val="169"/>
        <w:numPr>
          <w:ilvl w:val="0"/>
          <w:numId w:val="0"/>
        </w:numPr>
        <w:rPr>
          <w:rFonts w:ascii="Times New Roman"/>
        </w:rPr>
      </w:pPr>
    </w:p>
    <w:p w14:paraId="27B6EF73">
      <w:pPr>
        <w:pStyle w:val="169"/>
        <w:rPr>
          <w:rFonts w:ascii="Times New Roman"/>
        </w:rPr>
        <w:sectPr>
          <w:headerReference r:id="rId17" w:type="default"/>
          <w:footerReference r:id="rId19" w:type="default"/>
          <w:headerReference r:id="rId18" w:type="even"/>
          <w:footerReference r:id="rId20" w:type="even"/>
          <w:pgSz w:w="11906" w:h="16838"/>
          <w:pgMar w:top="1871" w:right="1134" w:bottom="1134" w:left="1134" w:header="1418" w:footer="1134" w:gutter="284"/>
          <w:pgBorders>
            <w:top w:val="none" w:sz="0" w:space="0"/>
            <w:left w:val="none" w:sz="0" w:space="0"/>
            <w:bottom w:val="none" w:sz="0" w:space="0"/>
            <w:right w:val="none" w:sz="0" w:space="0"/>
          </w:pgBorders>
          <w:pgNumType w:start="1"/>
          <w:cols w:space="425" w:num="1"/>
          <w:formProt w:val="0"/>
          <w:docGrid w:type="lines" w:linePitch="312" w:charSpace="0"/>
        </w:sectPr>
      </w:pPr>
    </w:p>
    <w:bookmarkEnd w:id="24"/>
    <w:p w14:paraId="521D48BE">
      <w:pPr>
        <w:pStyle w:val="202"/>
        <w:rPr>
          <w:rFonts w:ascii="Times New Roman" w:hAnsi="Times New Roman"/>
          <w:vanish w:val="0"/>
        </w:rPr>
      </w:pPr>
      <w:bookmarkStart w:id="140" w:name="BookMark5"/>
    </w:p>
    <w:p w14:paraId="487C70BF">
      <w:pPr>
        <w:pStyle w:val="203"/>
        <w:rPr>
          <w:rFonts w:ascii="Times New Roman"/>
          <w:vanish w:val="0"/>
        </w:rPr>
      </w:pPr>
    </w:p>
    <w:p w14:paraId="68FE336A">
      <w:pPr>
        <w:pStyle w:val="80"/>
        <w:spacing w:before="78" w:after="156"/>
        <w:rPr>
          <w:rFonts w:ascii="Times New Roman"/>
        </w:rPr>
      </w:pPr>
      <w:bookmarkStart w:id="141" w:name="_Toc26561"/>
      <w:bookmarkStart w:id="142" w:name="_Toc14294"/>
      <w:r>
        <w:rPr>
          <w:rFonts w:ascii="Times New Roman"/>
        </w:rPr>
        <w:br w:type="textWrapping"/>
      </w:r>
      <w:bookmarkStart w:id="143" w:name="_Toc61428361"/>
      <w:r>
        <w:rPr>
          <w:rFonts w:hint="eastAsia" w:ascii="Times New Roman"/>
        </w:rPr>
        <w:t>（资料性）</w:t>
      </w:r>
      <w:r>
        <w:rPr>
          <w:rFonts w:ascii="Times New Roman"/>
        </w:rPr>
        <w:br w:type="textWrapping"/>
      </w:r>
      <w:bookmarkEnd w:id="143"/>
      <w:r>
        <w:rPr>
          <w:rFonts w:hint="eastAsia" w:ascii="Times New Roman"/>
        </w:rPr>
        <w:t>幕墙玻璃的性能参数</w:t>
      </w:r>
      <w:bookmarkEnd w:id="141"/>
      <w:bookmarkEnd w:id="142"/>
    </w:p>
    <w:p w14:paraId="7B075627">
      <w:pPr>
        <w:pStyle w:val="60"/>
        <w:ind w:firstLine="420"/>
        <w:rPr>
          <w:rFonts w:ascii="Times New Roman"/>
        </w:rPr>
      </w:pPr>
      <w:r>
        <w:rPr>
          <w:rFonts w:hint="eastAsia" w:ascii="Times New Roman"/>
        </w:rPr>
        <w:t>常见幕墙玻璃的性能参数参见表A.1。</w:t>
      </w:r>
    </w:p>
    <w:p w14:paraId="6380FE8B">
      <w:pPr>
        <w:autoSpaceDE w:val="0"/>
        <w:autoSpaceDN w:val="0"/>
        <w:snapToGrid w:val="0"/>
        <w:spacing w:line="400" w:lineRule="atLeast"/>
        <w:jc w:val="center"/>
        <w:rPr>
          <w:rFonts w:ascii="Times New Roman" w:hAnsi="Times New Roman" w:eastAsia="黑体"/>
          <w:color w:val="auto"/>
          <w:kern w:val="0"/>
          <w:szCs w:val="20"/>
        </w:rPr>
      </w:pPr>
      <w:r>
        <w:rPr>
          <w:rFonts w:hint="eastAsia" w:ascii="Times New Roman" w:hAnsi="Times New Roman" w:eastAsia="黑体"/>
          <w:color w:val="auto"/>
          <w:kern w:val="0"/>
          <w:szCs w:val="20"/>
        </w:rPr>
        <w:t>表A.1 常见幕墙玻璃的性能参数</w:t>
      </w:r>
    </w:p>
    <w:tbl>
      <w:tblPr>
        <w:tblStyle w:val="29"/>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2538"/>
        <w:gridCol w:w="895"/>
        <w:gridCol w:w="796"/>
        <w:gridCol w:w="1047"/>
        <w:gridCol w:w="851"/>
        <w:gridCol w:w="905"/>
        <w:gridCol w:w="720"/>
      </w:tblGrid>
      <w:tr w14:paraId="07B8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blHeader/>
          <w:jc w:val="center"/>
        </w:trPr>
        <w:tc>
          <w:tcPr>
            <w:tcW w:w="1444" w:type="dxa"/>
            <w:vMerge w:val="restart"/>
            <w:tcBorders>
              <w:top w:val="single" w:color="auto" w:sz="4" w:space="0"/>
              <w:left w:val="single" w:color="auto" w:sz="4" w:space="0"/>
              <w:right w:val="single" w:color="auto" w:sz="4" w:space="0"/>
            </w:tcBorders>
            <w:vAlign w:val="center"/>
          </w:tcPr>
          <w:p w14:paraId="536503F9">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材料类型</w:t>
            </w:r>
          </w:p>
        </w:tc>
        <w:tc>
          <w:tcPr>
            <w:tcW w:w="2538" w:type="dxa"/>
            <w:vMerge w:val="restart"/>
            <w:tcBorders>
              <w:top w:val="single" w:color="auto" w:sz="4" w:space="0"/>
              <w:left w:val="single" w:color="auto" w:sz="4" w:space="0"/>
              <w:right w:val="single" w:color="auto" w:sz="4" w:space="0"/>
            </w:tcBorders>
            <w:vAlign w:val="center"/>
          </w:tcPr>
          <w:p w14:paraId="6C4352F2">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规格</w:t>
            </w:r>
          </w:p>
        </w:tc>
        <w:tc>
          <w:tcPr>
            <w:tcW w:w="1691" w:type="dxa"/>
            <w:gridSpan w:val="2"/>
            <w:tcBorders>
              <w:top w:val="single" w:color="auto" w:sz="4" w:space="0"/>
              <w:left w:val="single" w:color="auto" w:sz="4" w:space="0"/>
              <w:right w:val="single" w:color="auto" w:sz="4" w:space="0"/>
            </w:tcBorders>
            <w:vAlign w:val="center"/>
          </w:tcPr>
          <w:p w14:paraId="470DBE10">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可见光</w:t>
            </w:r>
          </w:p>
        </w:tc>
        <w:tc>
          <w:tcPr>
            <w:tcW w:w="1898" w:type="dxa"/>
            <w:gridSpan w:val="2"/>
            <w:tcBorders>
              <w:top w:val="single" w:color="auto" w:sz="4" w:space="0"/>
              <w:left w:val="single" w:color="auto" w:sz="4" w:space="0"/>
              <w:right w:val="single" w:color="auto" w:sz="4" w:space="0"/>
            </w:tcBorders>
            <w:vAlign w:val="center"/>
          </w:tcPr>
          <w:p w14:paraId="024A1B14">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太阳辐射</w:t>
            </w:r>
          </w:p>
        </w:tc>
        <w:tc>
          <w:tcPr>
            <w:tcW w:w="905" w:type="dxa"/>
            <w:vMerge w:val="restart"/>
            <w:tcBorders>
              <w:top w:val="single" w:color="auto" w:sz="4" w:space="0"/>
              <w:left w:val="single" w:color="auto" w:sz="4" w:space="0"/>
              <w:right w:val="single" w:color="auto" w:sz="4" w:space="0"/>
            </w:tcBorders>
            <w:vAlign w:val="center"/>
          </w:tcPr>
          <w:p w14:paraId="3B9CA6DB">
            <w:pPr>
              <w:widowControl/>
              <w:spacing w:line="240" w:lineRule="auto"/>
              <w:jc w:val="center"/>
              <w:rPr>
                <w:rFonts w:ascii="Times New Roman" w:hAnsi="Times New Roman" w:cs="宋体"/>
                <w:color w:val="auto"/>
                <w:kern w:val="0"/>
                <w:sz w:val="15"/>
                <w:szCs w:val="15"/>
              </w:rPr>
            </w:pPr>
            <w:r>
              <w:rPr>
                <w:rFonts w:hint="eastAsia" w:ascii="Times New Roman" w:hAnsi="Times New Roman" w:cs="宋体"/>
                <w:color w:val="auto"/>
                <w:kern w:val="0"/>
                <w:sz w:val="15"/>
                <w:szCs w:val="15"/>
              </w:rPr>
              <w:t>红外热能</w:t>
            </w:r>
          </w:p>
          <w:p w14:paraId="5A41B512">
            <w:pPr>
              <w:spacing w:line="240" w:lineRule="auto"/>
              <w:jc w:val="center"/>
              <w:rPr>
                <w:rFonts w:ascii="Times New Roman" w:hAnsi="Times New Roman"/>
                <w:color w:val="auto"/>
                <w:sz w:val="15"/>
                <w:szCs w:val="15"/>
              </w:rPr>
            </w:pPr>
            <w:r>
              <w:rPr>
                <w:rFonts w:hint="eastAsia" w:ascii="Times New Roman" w:hAnsi="Times New Roman" w:cs="宋体"/>
                <w:color w:val="auto"/>
                <w:kern w:val="0"/>
                <w:sz w:val="15"/>
                <w:szCs w:val="15"/>
              </w:rPr>
              <w:t>总透射比</w:t>
            </w:r>
          </w:p>
        </w:tc>
        <w:tc>
          <w:tcPr>
            <w:tcW w:w="720" w:type="dxa"/>
            <w:vMerge w:val="restart"/>
            <w:tcBorders>
              <w:top w:val="single" w:color="auto" w:sz="4" w:space="0"/>
              <w:left w:val="single" w:color="auto" w:sz="4" w:space="0"/>
              <w:right w:val="single" w:color="auto" w:sz="4" w:space="0"/>
            </w:tcBorders>
            <w:vAlign w:val="center"/>
          </w:tcPr>
          <w:p w14:paraId="6D118198">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光热比</w:t>
            </w:r>
          </w:p>
        </w:tc>
      </w:tr>
      <w:tr w14:paraId="12A8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6A024B15">
            <w:pPr>
              <w:jc w:val="center"/>
              <w:rPr>
                <w:rFonts w:ascii="Times New Roman" w:hAnsi="Times New Roman"/>
                <w:color w:val="auto"/>
                <w:sz w:val="15"/>
                <w:szCs w:val="15"/>
              </w:rPr>
            </w:pPr>
          </w:p>
        </w:tc>
        <w:tc>
          <w:tcPr>
            <w:tcW w:w="2538" w:type="dxa"/>
            <w:vMerge w:val="continue"/>
            <w:tcBorders>
              <w:left w:val="single" w:color="auto" w:sz="4" w:space="0"/>
              <w:bottom w:val="single" w:color="auto" w:sz="4" w:space="0"/>
              <w:right w:val="single" w:color="auto" w:sz="4" w:space="0"/>
            </w:tcBorders>
            <w:vAlign w:val="center"/>
          </w:tcPr>
          <w:p w14:paraId="336E5279">
            <w:pPr>
              <w:jc w:val="center"/>
              <w:rPr>
                <w:rFonts w:ascii="Times New Roman" w:hAnsi="Times New Roman"/>
                <w:color w:val="auto"/>
                <w:sz w:val="15"/>
                <w:szCs w:val="15"/>
              </w:rPr>
            </w:pPr>
          </w:p>
        </w:tc>
        <w:tc>
          <w:tcPr>
            <w:tcW w:w="895" w:type="dxa"/>
            <w:tcBorders>
              <w:top w:val="single" w:color="auto" w:sz="4" w:space="0"/>
              <w:left w:val="single" w:color="auto" w:sz="4" w:space="0"/>
              <w:right w:val="single" w:color="auto" w:sz="4" w:space="0"/>
            </w:tcBorders>
            <w:vAlign w:val="center"/>
          </w:tcPr>
          <w:p w14:paraId="18D54A07">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透射比</w:t>
            </w:r>
          </w:p>
        </w:tc>
        <w:tc>
          <w:tcPr>
            <w:tcW w:w="796" w:type="dxa"/>
            <w:tcBorders>
              <w:top w:val="single" w:color="auto" w:sz="4" w:space="0"/>
              <w:left w:val="single" w:color="auto" w:sz="4" w:space="0"/>
              <w:right w:val="single" w:color="auto" w:sz="4" w:space="0"/>
            </w:tcBorders>
            <w:vAlign w:val="center"/>
          </w:tcPr>
          <w:p w14:paraId="4F8AA18E">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反射比</w:t>
            </w:r>
          </w:p>
        </w:tc>
        <w:tc>
          <w:tcPr>
            <w:tcW w:w="1047" w:type="dxa"/>
            <w:tcBorders>
              <w:top w:val="single" w:color="auto" w:sz="4" w:space="0"/>
              <w:left w:val="single" w:color="auto" w:sz="4" w:space="0"/>
              <w:right w:val="single" w:color="auto" w:sz="4" w:space="0"/>
            </w:tcBorders>
            <w:vAlign w:val="center"/>
          </w:tcPr>
          <w:p w14:paraId="4D2BC0DE">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直接透射比</w:t>
            </w:r>
          </w:p>
        </w:tc>
        <w:tc>
          <w:tcPr>
            <w:tcW w:w="851" w:type="dxa"/>
            <w:tcBorders>
              <w:top w:val="single" w:color="auto" w:sz="4" w:space="0"/>
              <w:left w:val="single" w:color="auto" w:sz="4" w:space="0"/>
              <w:right w:val="single" w:color="auto" w:sz="4" w:space="0"/>
            </w:tcBorders>
            <w:vAlign w:val="center"/>
          </w:tcPr>
          <w:p w14:paraId="3EE0A4C1">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总透射比</w:t>
            </w:r>
          </w:p>
        </w:tc>
        <w:tc>
          <w:tcPr>
            <w:tcW w:w="905" w:type="dxa"/>
            <w:vMerge w:val="continue"/>
            <w:tcBorders>
              <w:left w:val="single" w:color="auto" w:sz="4" w:space="0"/>
              <w:bottom w:val="single" w:color="auto" w:sz="4" w:space="0"/>
              <w:right w:val="single" w:color="auto" w:sz="4" w:space="0"/>
            </w:tcBorders>
            <w:vAlign w:val="center"/>
          </w:tcPr>
          <w:p w14:paraId="6997E833">
            <w:pPr>
              <w:jc w:val="center"/>
              <w:rPr>
                <w:rFonts w:ascii="Times New Roman" w:hAnsi="Times New Roman"/>
                <w:color w:val="auto"/>
                <w:sz w:val="15"/>
                <w:szCs w:val="15"/>
              </w:rPr>
            </w:pPr>
          </w:p>
        </w:tc>
        <w:tc>
          <w:tcPr>
            <w:tcW w:w="720" w:type="dxa"/>
            <w:vMerge w:val="continue"/>
            <w:tcBorders>
              <w:left w:val="single" w:color="auto" w:sz="4" w:space="0"/>
              <w:bottom w:val="single" w:color="auto" w:sz="4" w:space="0"/>
              <w:right w:val="single" w:color="auto" w:sz="4" w:space="0"/>
            </w:tcBorders>
            <w:vAlign w:val="center"/>
          </w:tcPr>
          <w:p w14:paraId="5CD79508">
            <w:pPr>
              <w:jc w:val="center"/>
              <w:rPr>
                <w:rFonts w:ascii="Times New Roman" w:hAnsi="Times New Roman"/>
                <w:color w:val="auto"/>
                <w:sz w:val="15"/>
                <w:szCs w:val="15"/>
              </w:rPr>
            </w:pPr>
          </w:p>
        </w:tc>
      </w:tr>
      <w:tr w14:paraId="6B93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blHeader/>
          <w:jc w:val="center"/>
        </w:trPr>
        <w:tc>
          <w:tcPr>
            <w:tcW w:w="1444" w:type="dxa"/>
            <w:vMerge w:val="restart"/>
            <w:tcBorders>
              <w:top w:val="nil"/>
              <w:left w:val="single" w:color="auto" w:sz="4" w:space="0"/>
              <w:right w:val="single" w:color="auto" w:sz="4" w:space="0"/>
            </w:tcBorders>
            <w:vAlign w:val="center"/>
          </w:tcPr>
          <w:p w14:paraId="06255BE5">
            <w:pPr>
              <w:jc w:val="center"/>
              <w:rPr>
                <w:rFonts w:ascii="Times New Roman" w:hAnsi="Times New Roman"/>
                <w:color w:val="auto"/>
                <w:sz w:val="15"/>
                <w:szCs w:val="15"/>
              </w:rPr>
            </w:pPr>
            <w:r>
              <w:rPr>
                <w:rFonts w:hint="eastAsia" w:ascii="Times New Roman" w:hAnsi="Times New Roman"/>
                <w:color w:val="auto"/>
                <w:sz w:val="15"/>
                <w:szCs w:val="15"/>
              </w:rPr>
              <w:t>单层</w:t>
            </w:r>
          </w:p>
          <w:p w14:paraId="453143FD">
            <w:pPr>
              <w:jc w:val="center"/>
              <w:rPr>
                <w:rFonts w:ascii="Times New Roman" w:hAnsi="Times New Roman"/>
                <w:color w:val="auto"/>
                <w:sz w:val="15"/>
                <w:szCs w:val="15"/>
              </w:rPr>
            </w:pPr>
            <w:r>
              <w:rPr>
                <w:rFonts w:hint="eastAsia" w:ascii="Times New Roman" w:hAnsi="Times New Roman"/>
                <w:color w:val="auto"/>
                <w:sz w:val="15"/>
                <w:szCs w:val="15"/>
              </w:rPr>
              <w:t>玻璃</w:t>
            </w:r>
          </w:p>
        </w:tc>
        <w:tc>
          <w:tcPr>
            <w:tcW w:w="2538" w:type="dxa"/>
            <w:tcBorders>
              <w:top w:val="single" w:color="auto" w:sz="4" w:space="0"/>
              <w:left w:val="single" w:color="auto" w:sz="4" w:space="0"/>
              <w:bottom w:val="single" w:color="auto" w:sz="4" w:space="0"/>
              <w:right w:val="single" w:color="auto" w:sz="4" w:space="0"/>
            </w:tcBorders>
            <w:vAlign w:val="center"/>
          </w:tcPr>
          <w:p w14:paraId="0295C4C0">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kern w:val="0"/>
                <w:sz w:val="15"/>
                <w:szCs w:val="15"/>
              </w:rPr>
              <w:t xml:space="preserve"> mm</w:t>
            </w:r>
            <w:r>
              <w:rPr>
                <w:rFonts w:hint="eastAsia" w:ascii="Times New Roman" w:hAnsi="Times New Roman"/>
                <w:color w:val="auto"/>
                <w:sz w:val="15"/>
                <w:szCs w:val="15"/>
              </w:rPr>
              <w:t>普通白玻</w:t>
            </w:r>
          </w:p>
        </w:tc>
        <w:tc>
          <w:tcPr>
            <w:tcW w:w="895" w:type="dxa"/>
            <w:tcBorders>
              <w:top w:val="single" w:color="auto" w:sz="4" w:space="0"/>
              <w:left w:val="single" w:color="auto" w:sz="4" w:space="0"/>
              <w:bottom w:val="single" w:color="auto" w:sz="4" w:space="0"/>
              <w:right w:val="single" w:color="auto" w:sz="4" w:space="0"/>
            </w:tcBorders>
            <w:vAlign w:val="center"/>
          </w:tcPr>
          <w:p w14:paraId="22191AAE">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0.89</w:t>
            </w:r>
          </w:p>
        </w:tc>
        <w:tc>
          <w:tcPr>
            <w:tcW w:w="796" w:type="dxa"/>
            <w:tcBorders>
              <w:top w:val="single" w:color="auto" w:sz="4" w:space="0"/>
              <w:left w:val="single" w:color="auto" w:sz="4" w:space="0"/>
              <w:bottom w:val="single" w:color="auto" w:sz="4" w:space="0"/>
              <w:right w:val="single" w:color="auto" w:sz="4" w:space="0"/>
            </w:tcBorders>
            <w:vAlign w:val="center"/>
          </w:tcPr>
          <w:p w14:paraId="7AFDE507">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40002DED">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0.80</w:t>
            </w:r>
          </w:p>
        </w:tc>
        <w:tc>
          <w:tcPr>
            <w:tcW w:w="851" w:type="dxa"/>
            <w:tcBorders>
              <w:top w:val="single" w:color="auto" w:sz="4" w:space="0"/>
              <w:left w:val="single" w:color="auto" w:sz="4" w:space="0"/>
              <w:bottom w:val="single" w:color="auto" w:sz="4" w:space="0"/>
              <w:right w:val="single" w:color="auto" w:sz="4" w:space="0"/>
            </w:tcBorders>
            <w:vAlign w:val="center"/>
          </w:tcPr>
          <w:p w14:paraId="61FE6129">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0.84</w:t>
            </w:r>
          </w:p>
        </w:tc>
        <w:tc>
          <w:tcPr>
            <w:tcW w:w="905" w:type="dxa"/>
            <w:tcBorders>
              <w:top w:val="single" w:color="auto" w:sz="4" w:space="0"/>
              <w:left w:val="single" w:color="auto" w:sz="4" w:space="0"/>
              <w:bottom w:val="single" w:color="auto" w:sz="4" w:space="0"/>
              <w:right w:val="single" w:color="auto" w:sz="4" w:space="0"/>
            </w:tcBorders>
            <w:vAlign w:val="center"/>
          </w:tcPr>
          <w:p w14:paraId="3F5712FF">
            <w:pPr>
              <w:spacing w:line="240" w:lineRule="auto"/>
              <w:jc w:val="center"/>
              <w:rPr>
                <w:rFonts w:hint="default" w:ascii="Times New Roman" w:hAnsi="Times New Roman"/>
                <w:color w:val="auto"/>
                <w:sz w:val="15"/>
                <w:szCs w:val="15"/>
                <w:highlight w:val="none"/>
                <w:lang w:val="en-US" w:eastAsia="zh-CN"/>
              </w:rPr>
            </w:pPr>
            <w:r>
              <w:rPr>
                <w:rFonts w:hint="eastAsia" w:ascii="Times New Roman" w:hAnsi="Times New Roman"/>
                <w:color w:val="auto"/>
                <w:sz w:val="15"/>
                <w:szCs w:val="15"/>
                <w:highlight w:val="none"/>
                <w:lang w:val="en-US" w:eastAsia="zh-CN"/>
              </w:rPr>
              <w:t>0.80</w:t>
            </w:r>
          </w:p>
        </w:tc>
        <w:tc>
          <w:tcPr>
            <w:tcW w:w="720" w:type="dxa"/>
            <w:tcBorders>
              <w:top w:val="single" w:color="auto" w:sz="4" w:space="0"/>
              <w:left w:val="single" w:color="auto" w:sz="4" w:space="0"/>
              <w:bottom w:val="single" w:color="auto" w:sz="4" w:space="0"/>
              <w:right w:val="single" w:color="auto" w:sz="4" w:space="0"/>
            </w:tcBorders>
            <w:vAlign w:val="center"/>
          </w:tcPr>
          <w:p w14:paraId="7D67769A">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1.06</w:t>
            </w:r>
          </w:p>
        </w:tc>
      </w:tr>
      <w:tr w14:paraId="659A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44" w:type="dxa"/>
            <w:vMerge w:val="continue"/>
            <w:tcBorders>
              <w:left w:val="single" w:color="auto" w:sz="4" w:space="0"/>
              <w:right w:val="single" w:color="auto" w:sz="4" w:space="0"/>
            </w:tcBorders>
            <w:vAlign w:val="center"/>
          </w:tcPr>
          <w:p w14:paraId="7A8AF48F">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6C8F1474">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12</w:t>
            </w:r>
            <w:r>
              <w:rPr>
                <w:rFonts w:hint="eastAsia" w:ascii="Times New Roman" w:hAnsi="Times New Roman"/>
                <w:color w:val="auto"/>
                <w:kern w:val="0"/>
                <w:sz w:val="15"/>
                <w:szCs w:val="15"/>
              </w:rPr>
              <w:t xml:space="preserve"> mm</w:t>
            </w:r>
            <w:r>
              <w:rPr>
                <w:rFonts w:hint="eastAsia" w:ascii="Times New Roman" w:hAnsi="Times New Roman"/>
                <w:color w:val="auto"/>
                <w:sz w:val="15"/>
                <w:szCs w:val="15"/>
              </w:rPr>
              <w:t>普通白玻</w:t>
            </w:r>
          </w:p>
        </w:tc>
        <w:tc>
          <w:tcPr>
            <w:tcW w:w="895" w:type="dxa"/>
            <w:tcBorders>
              <w:top w:val="single" w:color="auto" w:sz="4" w:space="0"/>
              <w:left w:val="single" w:color="auto" w:sz="4" w:space="0"/>
              <w:bottom w:val="single" w:color="auto" w:sz="4" w:space="0"/>
              <w:right w:val="single" w:color="auto" w:sz="4" w:space="0"/>
            </w:tcBorders>
            <w:vAlign w:val="center"/>
          </w:tcPr>
          <w:p w14:paraId="3CCDC975">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0.86</w:t>
            </w:r>
          </w:p>
        </w:tc>
        <w:tc>
          <w:tcPr>
            <w:tcW w:w="796" w:type="dxa"/>
            <w:tcBorders>
              <w:top w:val="single" w:color="auto" w:sz="4" w:space="0"/>
              <w:left w:val="single" w:color="auto" w:sz="4" w:space="0"/>
              <w:bottom w:val="single" w:color="auto" w:sz="4" w:space="0"/>
              <w:right w:val="single" w:color="auto" w:sz="4" w:space="0"/>
            </w:tcBorders>
            <w:vAlign w:val="center"/>
          </w:tcPr>
          <w:p w14:paraId="7FB7AA86">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243A16A6">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0.72</w:t>
            </w:r>
          </w:p>
        </w:tc>
        <w:tc>
          <w:tcPr>
            <w:tcW w:w="851" w:type="dxa"/>
            <w:tcBorders>
              <w:top w:val="single" w:color="auto" w:sz="4" w:space="0"/>
              <w:left w:val="single" w:color="auto" w:sz="4" w:space="0"/>
              <w:bottom w:val="single" w:color="auto" w:sz="4" w:space="0"/>
              <w:right w:val="single" w:color="auto" w:sz="4" w:space="0"/>
            </w:tcBorders>
            <w:vAlign w:val="center"/>
          </w:tcPr>
          <w:p w14:paraId="1739B4F4">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0.78</w:t>
            </w:r>
          </w:p>
        </w:tc>
        <w:tc>
          <w:tcPr>
            <w:tcW w:w="905" w:type="dxa"/>
            <w:tcBorders>
              <w:top w:val="single" w:color="auto" w:sz="4" w:space="0"/>
              <w:left w:val="single" w:color="auto" w:sz="4" w:space="0"/>
              <w:bottom w:val="single" w:color="auto" w:sz="4" w:space="0"/>
              <w:right w:val="single" w:color="auto" w:sz="4" w:space="0"/>
            </w:tcBorders>
            <w:vAlign w:val="center"/>
          </w:tcPr>
          <w:p w14:paraId="44B5296E">
            <w:pPr>
              <w:spacing w:line="240" w:lineRule="auto"/>
              <w:jc w:val="center"/>
              <w:rPr>
                <w:rFonts w:hint="default" w:ascii="Times New Roman" w:hAnsi="Times New Roman"/>
                <w:color w:val="auto"/>
                <w:sz w:val="15"/>
                <w:szCs w:val="15"/>
                <w:highlight w:val="none"/>
                <w:lang w:val="en-US" w:eastAsia="zh-CN"/>
              </w:rPr>
            </w:pPr>
            <w:r>
              <w:rPr>
                <w:rFonts w:hint="eastAsia" w:ascii="Times New Roman" w:hAnsi="Times New Roman"/>
                <w:color w:val="auto"/>
                <w:sz w:val="15"/>
                <w:szCs w:val="15"/>
                <w:highlight w:val="none"/>
                <w:lang w:val="en-US" w:eastAsia="zh-CN"/>
              </w:rPr>
              <w:t>0.69</w:t>
            </w:r>
          </w:p>
        </w:tc>
        <w:tc>
          <w:tcPr>
            <w:tcW w:w="720" w:type="dxa"/>
            <w:tcBorders>
              <w:top w:val="single" w:color="auto" w:sz="4" w:space="0"/>
              <w:left w:val="single" w:color="auto" w:sz="4" w:space="0"/>
              <w:bottom w:val="single" w:color="auto" w:sz="4" w:space="0"/>
              <w:right w:val="single" w:color="auto" w:sz="4" w:space="0"/>
            </w:tcBorders>
            <w:vAlign w:val="center"/>
          </w:tcPr>
          <w:p w14:paraId="6E742E37">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1.10</w:t>
            </w:r>
          </w:p>
        </w:tc>
      </w:tr>
      <w:tr w14:paraId="4CB7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8B4DF84">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A4A0D91">
            <w:pPr>
              <w:spacing w:line="240" w:lineRule="auto"/>
              <w:jc w:val="center"/>
              <w:rPr>
                <w:rFonts w:hint="default" w:ascii="Times New Roman" w:hAnsi="Times New Roman" w:eastAsia="宋体"/>
                <w:color w:val="auto"/>
                <w:sz w:val="15"/>
                <w:szCs w:val="15"/>
                <w:highlight w:val="none"/>
                <w:lang w:val="en-US" w:eastAsia="zh-CN"/>
              </w:rPr>
            </w:pPr>
            <w:r>
              <w:rPr>
                <w:rFonts w:hint="eastAsia" w:ascii="Times New Roman" w:hAnsi="Times New Roman"/>
                <w:color w:val="auto"/>
                <w:sz w:val="15"/>
                <w:szCs w:val="15"/>
                <w:highlight w:val="none"/>
              </w:rPr>
              <w:t>6</w:t>
            </w:r>
            <w:r>
              <w:rPr>
                <w:rFonts w:hint="eastAsia" w:ascii="Times New Roman" w:hAnsi="Times New Roman"/>
                <w:color w:val="auto"/>
                <w:kern w:val="0"/>
                <w:sz w:val="15"/>
                <w:szCs w:val="15"/>
                <w:highlight w:val="none"/>
              </w:rPr>
              <w:t xml:space="preserve"> mm</w:t>
            </w:r>
            <w:r>
              <w:rPr>
                <w:rFonts w:hint="eastAsia" w:ascii="Times New Roman" w:hAnsi="Times New Roman"/>
                <w:color w:val="auto"/>
                <w:sz w:val="15"/>
                <w:szCs w:val="15"/>
                <w:highlight w:val="none"/>
              </w:rPr>
              <w:t>超白玻璃</w:t>
            </w:r>
          </w:p>
        </w:tc>
        <w:tc>
          <w:tcPr>
            <w:tcW w:w="895" w:type="dxa"/>
            <w:tcBorders>
              <w:top w:val="single" w:color="auto" w:sz="4" w:space="0"/>
              <w:left w:val="single" w:color="auto" w:sz="4" w:space="0"/>
              <w:bottom w:val="single" w:color="auto" w:sz="4" w:space="0"/>
              <w:right w:val="single" w:color="auto" w:sz="4" w:space="0"/>
            </w:tcBorders>
            <w:vAlign w:val="center"/>
          </w:tcPr>
          <w:p w14:paraId="4F0CD6FB">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0.91</w:t>
            </w:r>
          </w:p>
        </w:tc>
        <w:tc>
          <w:tcPr>
            <w:tcW w:w="796" w:type="dxa"/>
            <w:tcBorders>
              <w:top w:val="single" w:color="auto" w:sz="4" w:space="0"/>
              <w:left w:val="single" w:color="auto" w:sz="4" w:space="0"/>
              <w:bottom w:val="single" w:color="auto" w:sz="4" w:space="0"/>
              <w:right w:val="single" w:color="auto" w:sz="4" w:space="0"/>
            </w:tcBorders>
            <w:vAlign w:val="center"/>
          </w:tcPr>
          <w:p w14:paraId="734A83AC">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46AA8B6F">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0.89</w:t>
            </w:r>
          </w:p>
        </w:tc>
        <w:tc>
          <w:tcPr>
            <w:tcW w:w="851" w:type="dxa"/>
            <w:tcBorders>
              <w:top w:val="single" w:color="auto" w:sz="4" w:space="0"/>
              <w:left w:val="single" w:color="auto" w:sz="4" w:space="0"/>
              <w:bottom w:val="single" w:color="auto" w:sz="4" w:space="0"/>
              <w:right w:val="single" w:color="auto" w:sz="4" w:space="0"/>
            </w:tcBorders>
            <w:vAlign w:val="center"/>
          </w:tcPr>
          <w:p w14:paraId="517C75FB">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0.90</w:t>
            </w:r>
          </w:p>
        </w:tc>
        <w:tc>
          <w:tcPr>
            <w:tcW w:w="905" w:type="dxa"/>
            <w:tcBorders>
              <w:top w:val="single" w:color="auto" w:sz="4" w:space="0"/>
              <w:left w:val="single" w:color="auto" w:sz="4" w:space="0"/>
              <w:bottom w:val="single" w:color="auto" w:sz="4" w:space="0"/>
              <w:right w:val="single" w:color="auto" w:sz="4" w:space="0"/>
            </w:tcBorders>
            <w:vAlign w:val="center"/>
          </w:tcPr>
          <w:p w14:paraId="6E2F0F2C">
            <w:pPr>
              <w:spacing w:line="240" w:lineRule="auto"/>
              <w:jc w:val="center"/>
              <w:rPr>
                <w:rFonts w:hint="default" w:ascii="Times New Roman" w:hAnsi="Times New Roman"/>
                <w:color w:val="auto"/>
                <w:sz w:val="15"/>
                <w:szCs w:val="15"/>
                <w:highlight w:val="none"/>
                <w:lang w:val="en-US" w:eastAsia="zh-CN"/>
              </w:rPr>
            </w:pPr>
            <w:r>
              <w:rPr>
                <w:rFonts w:hint="eastAsia" w:ascii="Times New Roman" w:hAnsi="Times New Roman"/>
                <w:color w:val="auto"/>
                <w:sz w:val="15"/>
                <w:szCs w:val="15"/>
                <w:highlight w:val="none"/>
                <w:lang w:val="en-US" w:eastAsia="zh-CN"/>
              </w:rPr>
              <w:t>0.89</w:t>
            </w:r>
          </w:p>
        </w:tc>
        <w:tc>
          <w:tcPr>
            <w:tcW w:w="720" w:type="dxa"/>
            <w:tcBorders>
              <w:top w:val="single" w:color="auto" w:sz="4" w:space="0"/>
              <w:left w:val="single" w:color="auto" w:sz="4" w:space="0"/>
              <w:bottom w:val="single" w:color="auto" w:sz="4" w:space="0"/>
              <w:right w:val="single" w:color="auto" w:sz="4" w:space="0"/>
            </w:tcBorders>
            <w:vAlign w:val="center"/>
          </w:tcPr>
          <w:p w14:paraId="492FEBD4">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1.01</w:t>
            </w:r>
          </w:p>
        </w:tc>
      </w:tr>
      <w:tr w14:paraId="7AA0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blHeader/>
          <w:jc w:val="center"/>
        </w:trPr>
        <w:tc>
          <w:tcPr>
            <w:tcW w:w="1444" w:type="dxa"/>
            <w:vMerge w:val="continue"/>
            <w:tcBorders>
              <w:left w:val="single" w:color="auto" w:sz="4" w:space="0"/>
              <w:right w:val="single" w:color="auto" w:sz="4" w:space="0"/>
            </w:tcBorders>
            <w:vAlign w:val="center"/>
          </w:tcPr>
          <w:p w14:paraId="259F7CE8">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6DBC56D9">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12</w:t>
            </w:r>
            <w:r>
              <w:rPr>
                <w:rFonts w:hint="eastAsia" w:ascii="Times New Roman" w:hAnsi="Times New Roman"/>
                <w:color w:val="auto"/>
                <w:kern w:val="0"/>
                <w:sz w:val="15"/>
                <w:szCs w:val="15"/>
              </w:rPr>
              <w:t xml:space="preserve"> mm</w:t>
            </w:r>
            <w:r>
              <w:rPr>
                <w:rFonts w:hint="eastAsia" w:ascii="Times New Roman" w:hAnsi="Times New Roman"/>
                <w:color w:val="auto"/>
                <w:sz w:val="15"/>
                <w:szCs w:val="15"/>
              </w:rPr>
              <w:t>超白玻璃</w:t>
            </w:r>
          </w:p>
        </w:tc>
        <w:tc>
          <w:tcPr>
            <w:tcW w:w="895" w:type="dxa"/>
            <w:tcBorders>
              <w:top w:val="single" w:color="auto" w:sz="4" w:space="0"/>
              <w:left w:val="single" w:color="auto" w:sz="4" w:space="0"/>
              <w:bottom w:val="single" w:color="auto" w:sz="4" w:space="0"/>
              <w:right w:val="single" w:color="auto" w:sz="4" w:space="0"/>
            </w:tcBorders>
            <w:vAlign w:val="center"/>
          </w:tcPr>
          <w:p w14:paraId="65EC28B3">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0.9</w:t>
            </w:r>
            <w:r>
              <w:rPr>
                <w:rFonts w:hint="eastAsia" w:ascii="Times New Roman" w:hAnsi="Times New Roman"/>
                <w:color w:val="auto"/>
                <w:sz w:val="15"/>
                <w:szCs w:val="15"/>
                <w:lang w:val="en-US" w:eastAsia="zh-CN"/>
              </w:rPr>
              <w:t>0</w:t>
            </w:r>
          </w:p>
        </w:tc>
        <w:tc>
          <w:tcPr>
            <w:tcW w:w="796" w:type="dxa"/>
            <w:tcBorders>
              <w:top w:val="single" w:color="auto" w:sz="4" w:space="0"/>
              <w:left w:val="single" w:color="auto" w:sz="4" w:space="0"/>
              <w:bottom w:val="single" w:color="auto" w:sz="4" w:space="0"/>
              <w:right w:val="single" w:color="auto" w:sz="4" w:space="0"/>
            </w:tcBorders>
            <w:vAlign w:val="center"/>
          </w:tcPr>
          <w:p w14:paraId="0CADD0F0">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191A0765">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0.87</w:t>
            </w:r>
          </w:p>
        </w:tc>
        <w:tc>
          <w:tcPr>
            <w:tcW w:w="851" w:type="dxa"/>
            <w:tcBorders>
              <w:top w:val="single" w:color="auto" w:sz="4" w:space="0"/>
              <w:left w:val="single" w:color="auto" w:sz="4" w:space="0"/>
              <w:bottom w:val="single" w:color="auto" w:sz="4" w:space="0"/>
              <w:right w:val="single" w:color="auto" w:sz="4" w:space="0"/>
            </w:tcBorders>
            <w:vAlign w:val="center"/>
          </w:tcPr>
          <w:p w14:paraId="4C9E9B3E">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0.89</w:t>
            </w:r>
          </w:p>
        </w:tc>
        <w:tc>
          <w:tcPr>
            <w:tcW w:w="905" w:type="dxa"/>
            <w:tcBorders>
              <w:top w:val="single" w:color="auto" w:sz="4" w:space="0"/>
              <w:left w:val="single" w:color="auto" w:sz="4" w:space="0"/>
              <w:bottom w:val="single" w:color="auto" w:sz="4" w:space="0"/>
              <w:right w:val="single" w:color="auto" w:sz="4" w:space="0"/>
            </w:tcBorders>
            <w:vAlign w:val="center"/>
          </w:tcPr>
          <w:p w14:paraId="7C614AD9">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lang w:val="en-US" w:eastAsia="zh-CN"/>
              </w:rPr>
              <w:t>0.86</w:t>
            </w:r>
          </w:p>
        </w:tc>
        <w:tc>
          <w:tcPr>
            <w:tcW w:w="720" w:type="dxa"/>
            <w:tcBorders>
              <w:top w:val="single" w:color="auto" w:sz="4" w:space="0"/>
              <w:left w:val="single" w:color="auto" w:sz="4" w:space="0"/>
              <w:bottom w:val="single" w:color="auto" w:sz="4" w:space="0"/>
              <w:right w:val="single" w:color="auto" w:sz="4" w:space="0"/>
            </w:tcBorders>
            <w:vAlign w:val="center"/>
          </w:tcPr>
          <w:p w14:paraId="68162AA3">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1.03</w:t>
            </w:r>
          </w:p>
        </w:tc>
      </w:tr>
      <w:tr w14:paraId="15EB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5CB59705">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5B3BCDE9">
            <w:pPr>
              <w:spacing w:line="240" w:lineRule="auto"/>
              <w:jc w:val="center"/>
              <w:rPr>
                <w:rFonts w:hint="eastAsia" w:ascii="Times New Roman" w:hAnsi="Times New Roman"/>
                <w:color w:val="auto"/>
                <w:sz w:val="15"/>
                <w:szCs w:val="15"/>
                <w:highlight w:val="none"/>
                <w:lang w:val="en-US" w:eastAsia="zh-CN"/>
              </w:rPr>
            </w:pPr>
            <w:r>
              <w:rPr>
                <w:rFonts w:hint="eastAsia" w:ascii="Times New Roman" w:hAnsi="Times New Roman"/>
                <w:color w:val="auto"/>
                <w:sz w:val="15"/>
                <w:szCs w:val="15"/>
                <w:highlight w:val="none"/>
                <w:lang w:val="en-US" w:eastAsia="zh-CN"/>
              </w:rPr>
              <w:t>6 mm浅绿玻璃</w:t>
            </w:r>
          </w:p>
        </w:tc>
        <w:tc>
          <w:tcPr>
            <w:tcW w:w="895" w:type="dxa"/>
            <w:tcBorders>
              <w:top w:val="single" w:color="auto" w:sz="4" w:space="0"/>
              <w:left w:val="single" w:color="auto" w:sz="4" w:space="0"/>
              <w:bottom w:val="single" w:color="auto" w:sz="4" w:space="0"/>
              <w:right w:val="single" w:color="auto" w:sz="4" w:space="0"/>
            </w:tcBorders>
            <w:vAlign w:val="center"/>
          </w:tcPr>
          <w:p w14:paraId="3D9D05F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0.72</w:t>
            </w:r>
          </w:p>
        </w:tc>
        <w:tc>
          <w:tcPr>
            <w:tcW w:w="796" w:type="dxa"/>
            <w:tcBorders>
              <w:top w:val="single" w:color="auto" w:sz="4" w:space="0"/>
              <w:left w:val="single" w:color="auto" w:sz="4" w:space="0"/>
              <w:bottom w:val="single" w:color="auto" w:sz="4" w:space="0"/>
              <w:right w:val="single" w:color="auto" w:sz="4" w:space="0"/>
            </w:tcBorders>
            <w:vAlign w:val="center"/>
          </w:tcPr>
          <w:p w14:paraId="1219FAB2">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0.07</w:t>
            </w:r>
          </w:p>
        </w:tc>
        <w:tc>
          <w:tcPr>
            <w:tcW w:w="1047" w:type="dxa"/>
            <w:tcBorders>
              <w:top w:val="single" w:color="auto" w:sz="4" w:space="0"/>
              <w:left w:val="single" w:color="auto" w:sz="4" w:space="0"/>
              <w:bottom w:val="single" w:color="auto" w:sz="4" w:space="0"/>
              <w:right w:val="single" w:color="auto" w:sz="4" w:space="0"/>
            </w:tcBorders>
            <w:vAlign w:val="center"/>
          </w:tcPr>
          <w:p w14:paraId="0E10EE2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0.43</w:t>
            </w:r>
          </w:p>
        </w:tc>
        <w:tc>
          <w:tcPr>
            <w:tcW w:w="851" w:type="dxa"/>
            <w:tcBorders>
              <w:top w:val="single" w:color="auto" w:sz="4" w:space="0"/>
              <w:left w:val="single" w:color="auto" w:sz="4" w:space="0"/>
              <w:bottom w:val="single" w:color="auto" w:sz="4" w:space="0"/>
              <w:right w:val="single" w:color="auto" w:sz="4" w:space="0"/>
            </w:tcBorders>
            <w:vAlign w:val="center"/>
          </w:tcPr>
          <w:p w14:paraId="3E05682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0.58</w:t>
            </w:r>
          </w:p>
        </w:tc>
        <w:tc>
          <w:tcPr>
            <w:tcW w:w="905" w:type="dxa"/>
            <w:tcBorders>
              <w:top w:val="single" w:color="auto" w:sz="4" w:space="0"/>
              <w:left w:val="single" w:color="auto" w:sz="4" w:space="0"/>
              <w:bottom w:val="single" w:color="auto" w:sz="4" w:space="0"/>
              <w:right w:val="single" w:color="auto" w:sz="4" w:space="0"/>
            </w:tcBorders>
            <w:vAlign w:val="center"/>
          </w:tcPr>
          <w:p w14:paraId="7BB466F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0.43</w:t>
            </w:r>
          </w:p>
        </w:tc>
        <w:tc>
          <w:tcPr>
            <w:tcW w:w="720" w:type="dxa"/>
            <w:tcBorders>
              <w:top w:val="single" w:color="auto" w:sz="4" w:space="0"/>
              <w:left w:val="single" w:color="auto" w:sz="4" w:space="0"/>
              <w:bottom w:val="single" w:color="auto" w:sz="4" w:space="0"/>
              <w:right w:val="single" w:color="auto" w:sz="4" w:space="0"/>
            </w:tcBorders>
            <w:vAlign w:val="center"/>
          </w:tcPr>
          <w:p w14:paraId="7E248F9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1.24 </w:t>
            </w:r>
          </w:p>
        </w:tc>
      </w:tr>
      <w:tr w14:paraId="7068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10396EC9">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69FF610A">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kern w:val="0"/>
                <w:sz w:val="15"/>
                <w:szCs w:val="15"/>
              </w:rPr>
              <w:t xml:space="preserve"> mm</w:t>
            </w:r>
            <w:r>
              <w:rPr>
                <w:rFonts w:hint="eastAsia" w:ascii="Times New Roman" w:hAnsi="Times New Roman"/>
                <w:color w:val="auto"/>
                <w:sz w:val="15"/>
                <w:szCs w:val="15"/>
              </w:rPr>
              <w:t>浅蓝玻璃</w:t>
            </w:r>
          </w:p>
        </w:tc>
        <w:tc>
          <w:tcPr>
            <w:tcW w:w="895" w:type="dxa"/>
            <w:tcBorders>
              <w:top w:val="single" w:color="auto" w:sz="4" w:space="0"/>
              <w:left w:val="single" w:color="auto" w:sz="4" w:space="0"/>
              <w:bottom w:val="single" w:color="auto" w:sz="4" w:space="0"/>
              <w:right w:val="single" w:color="auto" w:sz="4" w:space="0"/>
            </w:tcBorders>
            <w:vAlign w:val="center"/>
          </w:tcPr>
          <w:p w14:paraId="27D03B97">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0.75</w:t>
            </w:r>
          </w:p>
        </w:tc>
        <w:tc>
          <w:tcPr>
            <w:tcW w:w="796" w:type="dxa"/>
            <w:tcBorders>
              <w:top w:val="single" w:color="auto" w:sz="4" w:space="0"/>
              <w:left w:val="single" w:color="auto" w:sz="4" w:space="0"/>
              <w:bottom w:val="single" w:color="auto" w:sz="4" w:space="0"/>
              <w:right w:val="single" w:color="auto" w:sz="4" w:space="0"/>
            </w:tcBorders>
            <w:vAlign w:val="center"/>
          </w:tcPr>
          <w:p w14:paraId="3A790972">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0.07</w:t>
            </w:r>
          </w:p>
        </w:tc>
        <w:tc>
          <w:tcPr>
            <w:tcW w:w="1047" w:type="dxa"/>
            <w:tcBorders>
              <w:top w:val="single" w:color="auto" w:sz="4" w:space="0"/>
              <w:left w:val="single" w:color="auto" w:sz="4" w:space="0"/>
              <w:bottom w:val="single" w:color="auto" w:sz="4" w:space="0"/>
              <w:right w:val="single" w:color="auto" w:sz="4" w:space="0"/>
            </w:tcBorders>
            <w:vAlign w:val="center"/>
          </w:tcPr>
          <w:p w14:paraId="0D58ED13">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0.56</w:t>
            </w:r>
          </w:p>
        </w:tc>
        <w:tc>
          <w:tcPr>
            <w:tcW w:w="851" w:type="dxa"/>
            <w:tcBorders>
              <w:top w:val="single" w:color="auto" w:sz="4" w:space="0"/>
              <w:left w:val="single" w:color="auto" w:sz="4" w:space="0"/>
              <w:bottom w:val="single" w:color="auto" w:sz="4" w:space="0"/>
              <w:right w:val="single" w:color="auto" w:sz="4" w:space="0"/>
            </w:tcBorders>
            <w:vAlign w:val="center"/>
          </w:tcPr>
          <w:p w14:paraId="1FF4CDDC">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0.67</w:t>
            </w:r>
          </w:p>
        </w:tc>
        <w:tc>
          <w:tcPr>
            <w:tcW w:w="905" w:type="dxa"/>
            <w:tcBorders>
              <w:top w:val="single" w:color="auto" w:sz="4" w:space="0"/>
              <w:left w:val="single" w:color="auto" w:sz="4" w:space="0"/>
              <w:bottom w:val="single" w:color="auto" w:sz="4" w:space="0"/>
              <w:right w:val="single" w:color="auto" w:sz="4" w:space="0"/>
            </w:tcBorders>
            <w:vAlign w:val="center"/>
          </w:tcPr>
          <w:p w14:paraId="39B79B1B">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lang w:val="en-US" w:eastAsia="zh-CN"/>
              </w:rPr>
              <w:t>0.54</w:t>
            </w:r>
          </w:p>
        </w:tc>
        <w:tc>
          <w:tcPr>
            <w:tcW w:w="720" w:type="dxa"/>
            <w:tcBorders>
              <w:top w:val="single" w:color="auto" w:sz="4" w:space="0"/>
              <w:left w:val="single" w:color="auto" w:sz="4" w:space="0"/>
              <w:bottom w:val="single" w:color="auto" w:sz="4" w:space="0"/>
              <w:right w:val="single" w:color="auto" w:sz="4" w:space="0"/>
            </w:tcBorders>
            <w:vAlign w:val="center"/>
          </w:tcPr>
          <w:p w14:paraId="27460BA8">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1.12</w:t>
            </w:r>
          </w:p>
        </w:tc>
      </w:tr>
      <w:tr w14:paraId="4CE3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0B097137">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18B62580">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kern w:val="0"/>
                <w:sz w:val="15"/>
                <w:szCs w:val="15"/>
              </w:rPr>
              <w:t xml:space="preserve"> mm</w:t>
            </w:r>
            <w:r>
              <w:rPr>
                <w:rFonts w:hint="eastAsia" w:ascii="Times New Roman" w:hAnsi="Times New Roman"/>
                <w:color w:val="auto"/>
                <w:sz w:val="15"/>
                <w:szCs w:val="15"/>
              </w:rPr>
              <w:t>水晶灰玻</w:t>
            </w:r>
          </w:p>
        </w:tc>
        <w:tc>
          <w:tcPr>
            <w:tcW w:w="895" w:type="dxa"/>
            <w:tcBorders>
              <w:top w:val="single" w:color="auto" w:sz="4" w:space="0"/>
              <w:left w:val="single" w:color="auto" w:sz="4" w:space="0"/>
              <w:bottom w:val="single" w:color="auto" w:sz="4" w:space="0"/>
              <w:right w:val="single" w:color="auto" w:sz="4" w:space="0"/>
            </w:tcBorders>
            <w:vAlign w:val="center"/>
          </w:tcPr>
          <w:p w14:paraId="3C39BF54">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0.64</w:t>
            </w:r>
          </w:p>
        </w:tc>
        <w:tc>
          <w:tcPr>
            <w:tcW w:w="796" w:type="dxa"/>
            <w:tcBorders>
              <w:top w:val="single" w:color="auto" w:sz="4" w:space="0"/>
              <w:left w:val="single" w:color="auto" w:sz="4" w:space="0"/>
              <w:bottom w:val="single" w:color="auto" w:sz="4" w:space="0"/>
              <w:right w:val="single" w:color="auto" w:sz="4" w:space="0"/>
            </w:tcBorders>
            <w:vAlign w:val="center"/>
          </w:tcPr>
          <w:p w14:paraId="08075FF6">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0.06</w:t>
            </w:r>
          </w:p>
        </w:tc>
        <w:tc>
          <w:tcPr>
            <w:tcW w:w="1047" w:type="dxa"/>
            <w:tcBorders>
              <w:top w:val="single" w:color="auto" w:sz="4" w:space="0"/>
              <w:left w:val="single" w:color="auto" w:sz="4" w:space="0"/>
              <w:bottom w:val="single" w:color="auto" w:sz="4" w:space="0"/>
              <w:right w:val="single" w:color="auto" w:sz="4" w:space="0"/>
            </w:tcBorders>
            <w:vAlign w:val="center"/>
          </w:tcPr>
          <w:p w14:paraId="58833EEB">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0.56</w:t>
            </w:r>
          </w:p>
        </w:tc>
        <w:tc>
          <w:tcPr>
            <w:tcW w:w="851" w:type="dxa"/>
            <w:tcBorders>
              <w:top w:val="single" w:color="auto" w:sz="4" w:space="0"/>
              <w:left w:val="single" w:color="auto" w:sz="4" w:space="0"/>
              <w:bottom w:val="single" w:color="auto" w:sz="4" w:space="0"/>
              <w:right w:val="single" w:color="auto" w:sz="4" w:space="0"/>
            </w:tcBorders>
            <w:vAlign w:val="center"/>
          </w:tcPr>
          <w:p w14:paraId="01730C2D">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0.67</w:t>
            </w:r>
          </w:p>
        </w:tc>
        <w:tc>
          <w:tcPr>
            <w:tcW w:w="905" w:type="dxa"/>
            <w:tcBorders>
              <w:top w:val="single" w:color="auto" w:sz="4" w:space="0"/>
              <w:left w:val="single" w:color="auto" w:sz="4" w:space="0"/>
              <w:bottom w:val="single" w:color="auto" w:sz="4" w:space="0"/>
              <w:right w:val="single" w:color="auto" w:sz="4" w:space="0"/>
            </w:tcBorders>
            <w:vAlign w:val="center"/>
          </w:tcPr>
          <w:p w14:paraId="1913D97F">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highlight w:val="none"/>
                <w:lang w:val="en-US" w:eastAsia="zh-CN"/>
              </w:rPr>
              <w:t>0.61</w:t>
            </w:r>
          </w:p>
        </w:tc>
        <w:tc>
          <w:tcPr>
            <w:tcW w:w="720" w:type="dxa"/>
            <w:tcBorders>
              <w:top w:val="single" w:color="auto" w:sz="4" w:space="0"/>
              <w:left w:val="single" w:color="auto" w:sz="4" w:space="0"/>
              <w:bottom w:val="single" w:color="auto" w:sz="4" w:space="0"/>
              <w:right w:val="single" w:color="auto" w:sz="4" w:space="0"/>
            </w:tcBorders>
            <w:vAlign w:val="center"/>
          </w:tcPr>
          <w:p w14:paraId="33636E1B">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0.96</w:t>
            </w:r>
          </w:p>
        </w:tc>
      </w:tr>
      <w:tr w14:paraId="7DE4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blHeader/>
          <w:jc w:val="center"/>
        </w:trPr>
        <w:tc>
          <w:tcPr>
            <w:tcW w:w="1444" w:type="dxa"/>
            <w:vMerge w:val="continue"/>
            <w:tcBorders>
              <w:left w:val="single" w:color="auto" w:sz="4" w:space="0"/>
              <w:right w:val="single" w:color="auto" w:sz="4" w:space="0"/>
            </w:tcBorders>
            <w:vAlign w:val="center"/>
          </w:tcPr>
          <w:p w14:paraId="6CB52524">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nil"/>
              <w:right w:val="single" w:color="auto" w:sz="4" w:space="0"/>
            </w:tcBorders>
            <w:vAlign w:val="center"/>
          </w:tcPr>
          <w:p w14:paraId="6F51D571">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6mm茶色玻璃</w:t>
            </w:r>
          </w:p>
        </w:tc>
        <w:tc>
          <w:tcPr>
            <w:tcW w:w="895" w:type="dxa"/>
            <w:tcBorders>
              <w:top w:val="single" w:color="auto" w:sz="4" w:space="0"/>
              <w:left w:val="single" w:color="auto" w:sz="4" w:space="0"/>
              <w:bottom w:val="single" w:color="auto" w:sz="4" w:space="0"/>
              <w:right w:val="single" w:color="auto" w:sz="4" w:space="0"/>
            </w:tcBorders>
            <w:vAlign w:val="center"/>
          </w:tcPr>
          <w:p w14:paraId="0EB63D4E">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0.48</w:t>
            </w:r>
          </w:p>
        </w:tc>
        <w:tc>
          <w:tcPr>
            <w:tcW w:w="796" w:type="dxa"/>
            <w:tcBorders>
              <w:top w:val="single" w:color="auto" w:sz="4" w:space="0"/>
              <w:left w:val="single" w:color="auto" w:sz="4" w:space="0"/>
              <w:bottom w:val="single" w:color="auto" w:sz="4" w:space="0"/>
              <w:right w:val="single" w:color="auto" w:sz="4" w:space="0"/>
            </w:tcBorders>
            <w:vAlign w:val="center"/>
          </w:tcPr>
          <w:p w14:paraId="2ED18D50">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0.06</w:t>
            </w:r>
          </w:p>
        </w:tc>
        <w:tc>
          <w:tcPr>
            <w:tcW w:w="1047" w:type="dxa"/>
            <w:tcBorders>
              <w:top w:val="single" w:color="auto" w:sz="4" w:space="0"/>
              <w:left w:val="single" w:color="auto" w:sz="4" w:space="0"/>
              <w:bottom w:val="single" w:color="auto" w:sz="4" w:space="0"/>
              <w:right w:val="single" w:color="auto" w:sz="4" w:space="0"/>
            </w:tcBorders>
            <w:vAlign w:val="center"/>
          </w:tcPr>
          <w:p w14:paraId="5C412B5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0.48</w:t>
            </w:r>
          </w:p>
        </w:tc>
        <w:tc>
          <w:tcPr>
            <w:tcW w:w="851" w:type="dxa"/>
            <w:tcBorders>
              <w:top w:val="single" w:color="auto" w:sz="4" w:space="0"/>
              <w:left w:val="single" w:color="auto" w:sz="4" w:space="0"/>
              <w:bottom w:val="single" w:color="auto" w:sz="4" w:space="0"/>
              <w:right w:val="single" w:color="auto" w:sz="4" w:space="0"/>
            </w:tcBorders>
            <w:vAlign w:val="center"/>
          </w:tcPr>
          <w:p w14:paraId="0538A97B">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0.61</w:t>
            </w:r>
          </w:p>
        </w:tc>
        <w:tc>
          <w:tcPr>
            <w:tcW w:w="905" w:type="dxa"/>
            <w:tcBorders>
              <w:top w:val="single" w:color="auto" w:sz="4" w:space="0"/>
              <w:left w:val="single" w:color="auto" w:sz="4" w:space="0"/>
              <w:bottom w:val="single" w:color="auto" w:sz="4" w:space="0"/>
              <w:right w:val="single" w:color="auto" w:sz="4" w:space="0"/>
            </w:tcBorders>
            <w:vAlign w:val="center"/>
          </w:tcPr>
          <w:p w14:paraId="4BB5903D">
            <w:pPr>
              <w:spacing w:line="240" w:lineRule="auto"/>
              <w:jc w:val="center"/>
              <w:rPr>
                <w:rFonts w:hint="eastAsia" w:ascii="Times New Roman" w:hAnsi="Times New Roman" w:eastAsia="宋体"/>
                <w:color w:val="auto"/>
                <w:sz w:val="15"/>
                <w:szCs w:val="15"/>
                <w:lang w:val="en-US" w:eastAsia="zh-CN"/>
              </w:rPr>
            </w:pPr>
            <w:r>
              <w:rPr>
                <w:rFonts w:hint="eastAsia" w:ascii="Times New Roman" w:hAnsi="Times New Roman"/>
                <w:color w:val="auto"/>
                <w:sz w:val="15"/>
                <w:szCs w:val="15"/>
              </w:rPr>
              <w:t>0.6</w:t>
            </w:r>
            <w:r>
              <w:rPr>
                <w:rFonts w:hint="eastAsia" w:ascii="Times New Roman" w:hAnsi="Times New Roman"/>
                <w:color w:val="auto"/>
                <w:sz w:val="15"/>
                <w:szCs w:val="15"/>
                <w:lang w:val="en-US" w:eastAsia="zh-CN"/>
              </w:rPr>
              <w:t>2</w:t>
            </w:r>
          </w:p>
        </w:tc>
        <w:tc>
          <w:tcPr>
            <w:tcW w:w="720" w:type="dxa"/>
            <w:tcBorders>
              <w:top w:val="single" w:color="auto" w:sz="4" w:space="0"/>
              <w:left w:val="single" w:color="auto" w:sz="4" w:space="0"/>
              <w:bottom w:val="single" w:color="auto" w:sz="4" w:space="0"/>
              <w:right w:val="single" w:color="auto" w:sz="4" w:space="0"/>
            </w:tcBorders>
            <w:vAlign w:val="center"/>
          </w:tcPr>
          <w:p w14:paraId="3BFF51A5">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0.79 </w:t>
            </w:r>
          </w:p>
        </w:tc>
      </w:tr>
      <w:tr w14:paraId="4D1A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blHeader/>
          <w:jc w:val="center"/>
        </w:trPr>
        <w:tc>
          <w:tcPr>
            <w:tcW w:w="1444" w:type="dxa"/>
            <w:vMerge w:val="restart"/>
            <w:tcBorders>
              <w:top w:val="nil"/>
              <w:left w:val="single" w:color="auto" w:sz="4" w:space="0"/>
              <w:right w:val="single" w:color="auto" w:sz="4" w:space="0"/>
            </w:tcBorders>
            <w:vAlign w:val="center"/>
          </w:tcPr>
          <w:p w14:paraId="6D9BFF59">
            <w:pPr>
              <w:jc w:val="center"/>
              <w:rPr>
                <w:rFonts w:ascii="Times New Roman" w:hAnsi="Times New Roman"/>
                <w:color w:val="auto"/>
                <w:sz w:val="15"/>
                <w:szCs w:val="15"/>
              </w:rPr>
            </w:pPr>
            <w:r>
              <w:rPr>
                <w:rFonts w:hint="eastAsia" w:ascii="Times New Roman" w:hAnsi="Times New Roman"/>
                <w:color w:val="auto"/>
                <w:sz w:val="15"/>
                <w:szCs w:val="15"/>
              </w:rPr>
              <w:t>夹层</w:t>
            </w:r>
          </w:p>
          <w:p w14:paraId="3E9D6AB1">
            <w:pPr>
              <w:jc w:val="center"/>
              <w:rPr>
                <w:rFonts w:ascii="Times New Roman" w:hAnsi="Times New Roman"/>
                <w:color w:val="auto"/>
                <w:sz w:val="15"/>
                <w:szCs w:val="15"/>
              </w:rPr>
            </w:pPr>
            <w:r>
              <w:rPr>
                <w:rFonts w:hint="eastAsia" w:ascii="Times New Roman" w:hAnsi="Times New Roman"/>
                <w:color w:val="auto"/>
                <w:sz w:val="15"/>
                <w:szCs w:val="15"/>
              </w:rPr>
              <w:t>玻璃</w:t>
            </w:r>
          </w:p>
        </w:tc>
        <w:tc>
          <w:tcPr>
            <w:tcW w:w="2538" w:type="dxa"/>
            <w:tcBorders>
              <w:top w:val="single" w:color="auto" w:sz="4" w:space="0"/>
              <w:left w:val="single" w:color="auto" w:sz="4" w:space="0"/>
              <w:bottom w:val="nil"/>
              <w:right w:val="single" w:color="auto" w:sz="4" w:space="0"/>
            </w:tcBorders>
            <w:vAlign w:val="center"/>
          </w:tcPr>
          <w:p w14:paraId="078E49F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普白</w:t>
            </w:r>
            <w:r>
              <w:rPr>
                <w:rFonts w:hint="eastAsia" w:ascii="Times New Roman" w:hAnsi="Times New Roman"/>
                <w:color w:val="auto"/>
                <w:sz w:val="15"/>
                <w:szCs w:val="15"/>
              </w:rPr>
              <w:t>+0.76PVB+6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6BB6C03D">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0.88</w:t>
            </w:r>
          </w:p>
        </w:tc>
        <w:tc>
          <w:tcPr>
            <w:tcW w:w="796" w:type="dxa"/>
            <w:tcBorders>
              <w:top w:val="single" w:color="auto" w:sz="4" w:space="0"/>
              <w:left w:val="single" w:color="auto" w:sz="4" w:space="0"/>
              <w:bottom w:val="single" w:color="auto" w:sz="4" w:space="0"/>
              <w:right w:val="single" w:color="auto" w:sz="4" w:space="0"/>
            </w:tcBorders>
            <w:vAlign w:val="center"/>
          </w:tcPr>
          <w:p w14:paraId="70D6BCAE">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00938BB8">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0.72</w:t>
            </w:r>
          </w:p>
        </w:tc>
        <w:tc>
          <w:tcPr>
            <w:tcW w:w="851" w:type="dxa"/>
            <w:tcBorders>
              <w:top w:val="single" w:color="auto" w:sz="4" w:space="0"/>
              <w:left w:val="single" w:color="auto" w:sz="4" w:space="0"/>
              <w:bottom w:val="single" w:color="auto" w:sz="4" w:space="0"/>
              <w:right w:val="single" w:color="auto" w:sz="4" w:space="0"/>
            </w:tcBorders>
            <w:vAlign w:val="center"/>
          </w:tcPr>
          <w:p w14:paraId="21623407">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0.78</w:t>
            </w:r>
          </w:p>
        </w:tc>
        <w:tc>
          <w:tcPr>
            <w:tcW w:w="905" w:type="dxa"/>
            <w:tcBorders>
              <w:top w:val="single" w:color="auto" w:sz="4" w:space="0"/>
              <w:left w:val="single" w:color="auto" w:sz="4" w:space="0"/>
              <w:bottom w:val="single" w:color="auto" w:sz="4" w:space="0"/>
              <w:right w:val="single" w:color="auto" w:sz="4" w:space="0"/>
            </w:tcBorders>
            <w:vAlign w:val="center"/>
          </w:tcPr>
          <w:p w14:paraId="5DA4C36B">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lang w:val="en-US" w:eastAsia="zh-CN"/>
              </w:rPr>
              <w:t>0.68</w:t>
            </w:r>
          </w:p>
        </w:tc>
        <w:tc>
          <w:tcPr>
            <w:tcW w:w="720" w:type="dxa"/>
            <w:tcBorders>
              <w:top w:val="single" w:color="auto" w:sz="4" w:space="0"/>
              <w:left w:val="single" w:color="auto" w:sz="4" w:space="0"/>
              <w:bottom w:val="single" w:color="auto" w:sz="4" w:space="0"/>
              <w:right w:val="single" w:color="auto" w:sz="4" w:space="0"/>
            </w:tcBorders>
            <w:vAlign w:val="center"/>
          </w:tcPr>
          <w:p w14:paraId="4BAA9722">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1.14</w:t>
            </w:r>
          </w:p>
        </w:tc>
      </w:tr>
      <w:tr w14:paraId="284D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080EADEB">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0A4CD0F">
            <w:pPr>
              <w:spacing w:line="240" w:lineRule="auto"/>
              <w:jc w:val="center"/>
              <w:rPr>
                <w:rFonts w:hint="eastAsia"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普白</w:t>
            </w:r>
            <w:r>
              <w:rPr>
                <w:rFonts w:hint="eastAsia" w:ascii="Times New Roman" w:hAnsi="Times New Roman"/>
                <w:color w:val="auto"/>
                <w:sz w:val="15"/>
                <w:szCs w:val="15"/>
              </w:rPr>
              <w:t>+</w:t>
            </w:r>
            <w:r>
              <w:rPr>
                <w:rFonts w:hint="eastAsia" w:ascii="Times New Roman" w:hAnsi="Times New Roman"/>
                <w:color w:val="auto"/>
                <w:sz w:val="15"/>
                <w:szCs w:val="15"/>
                <w:lang w:val="en-US" w:eastAsia="zh-CN"/>
              </w:rPr>
              <w:t>1.14</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nil"/>
              <w:right w:val="single" w:color="auto" w:sz="4" w:space="0"/>
            </w:tcBorders>
            <w:vAlign w:val="center"/>
          </w:tcPr>
          <w:p w14:paraId="1C9C356E">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0.88</w:t>
            </w:r>
          </w:p>
        </w:tc>
        <w:tc>
          <w:tcPr>
            <w:tcW w:w="796" w:type="dxa"/>
            <w:tcBorders>
              <w:top w:val="single" w:color="auto" w:sz="4" w:space="0"/>
              <w:left w:val="single" w:color="auto" w:sz="4" w:space="0"/>
              <w:bottom w:val="nil"/>
              <w:right w:val="single" w:color="auto" w:sz="4" w:space="0"/>
            </w:tcBorders>
            <w:vAlign w:val="center"/>
          </w:tcPr>
          <w:p w14:paraId="48026610">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nil"/>
              <w:right w:val="single" w:color="auto" w:sz="4" w:space="0"/>
            </w:tcBorders>
            <w:vAlign w:val="center"/>
          </w:tcPr>
          <w:p w14:paraId="149B0E6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0.69</w:t>
            </w:r>
          </w:p>
        </w:tc>
        <w:tc>
          <w:tcPr>
            <w:tcW w:w="851" w:type="dxa"/>
            <w:tcBorders>
              <w:top w:val="single" w:color="auto" w:sz="4" w:space="0"/>
              <w:left w:val="single" w:color="auto" w:sz="4" w:space="0"/>
              <w:bottom w:val="nil"/>
              <w:right w:val="single" w:color="auto" w:sz="4" w:space="0"/>
            </w:tcBorders>
            <w:vAlign w:val="center"/>
          </w:tcPr>
          <w:p w14:paraId="1217C12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0.76</w:t>
            </w:r>
          </w:p>
        </w:tc>
        <w:tc>
          <w:tcPr>
            <w:tcW w:w="905" w:type="dxa"/>
            <w:tcBorders>
              <w:top w:val="single" w:color="auto" w:sz="4" w:space="0"/>
              <w:left w:val="single" w:color="auto" w:sz="4" w:space="0"/>
              <w:bottom w:val="nil"/>
              <w:right w:val="single" w:color="auto" w:sz="4" w:space="0"/>
            </w:tcBorders>
            <w:vAlign w:val="center"/>
          </w:tcPr>
          <w:p w14:paraId="1DC6EBF4">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0.68</w:t>
            </w:r>
          </w:p>
        </w:tc>
        <w:tc>
          <w:tcPr>
            <w:tcW w:w="720" w:type="dxa"/>
            <w:tcBorders>
              <w:top w:val="single" w:color="auto" w:sz="4" w:space="0"/>
              <w:left w:val="single" w:color="auto" w:sz="4" w:space="0"/>
              <w:bottom w:val="nil"/>
              <w:right w:val="single" w:color="auto" w:sz="4" w:space="0"/>
            </w:tcBorders>
            <w:vAlign w:val="center"/>
          </w:tcPr>
          <w:p w14:paraId="7BD618F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1.16 </w:t>
            </w:r>
          </w:p>
        </w:tc>
      </w:tr>
      <w:tr w14:paraId="7B27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09339C3A">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E247158">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普白</w:t>
            </w:r>
            <w:r>
              <w:rPr>
                <w:rFonts w:hint="eastAsia" w:ascii="Times New Roman" w:hAnsi="Times New Roman"/>
                <w:color w:val="auto"/>
                <w:sz w:val="15"/>
                <w:szCs w:val="15"/>
              </w:rPr>
              <w:t>+1.52PVB+6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nil"/>
              <w:right w:val="single" w:color="auto" w:sz="4" w:space="0"/>
            </w:tcBorders>
            <w:vAlign w:val="center"/>
          </w:tcPr>
          <w:p w14:paraId="1B58C121">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s="Times New Roman"/>
                <w:color w:val="auto"/>
                <w:kern w:val="2"/>
                <w:sz w:val="15"/>
                <w:szCs w:val="15"/>
                <w:lang w:val="en-US" w:eastAsia="zh-CN" w:bidi="ar-SA"/>
              </w:rPr>
              <w:t>0.87</w:t>
            </w:r>
          </w:p>
        </w:tc>
        <w:tc>
          <w:tcPr>
            <w:tcW w:w="796" w:type="dxa"/>
            <w:tcBorders>
              <w:top w:val="single" w:color="auto" w:sz="4" w:space="0"/>
              <w:left w:val="single" w:color="auto" w:sz="4" w:space="0"/>
              <w:bottom w:val="nil"/>
              <w:right w:val="single" w:color="auto" w:sz="4" w:space="0"/>
            </w:tcBorders>
            <w:vAlign w:val="center"/>
          </w:tcPr>
          <w:p w14:paraId="6590A600">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0.08</w:t>
            </w:r>
          </w:p>
        </w:tc>
        <w:tc>
          <w:tcPr>
            <w:tcW w:w="1047" w:type="dxa"/>
            <w:tcBorders>
              <w:top w:val="single" w:color="auto" w:sz="4" w:space="0"/>
              <w:left w:val="single" w:color="auto" w:sz="4" w:space="0"/>
              <w:bottom w:val="nil"/>
              <w:right w:val="single" w:color="auto" w:sz="4" w:space="0"/>
            </w:tcBorders>
            <w:vAlign w:val="center"/>
          </w:tcPr>
          <w:p w14:paraId="6472CA6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0.72</w:t>
            </w:r>
          </w:p>
        </w:tc>
        <w:tc>
          <w:tcPr>
            <w:tcW w:w="851" w:type="dxa"/>
            <w:tcBorders>
              <w:top w:val="single" w:color="auto" w:sz="4" w:space="0"/>
              <w:left w:val="single" w:color="auto" w:sz="4" w:space="0"/>
              <w:bottom w:val="nil"/>
              <w:right w:val="single" w:color="auto" w:sz="4" w:space="0"/>
            </w:tcBorders>
            <w:vAlign w:val="center"/>
          </w:tcPr>
          <w:p w14:paraId="2641088E">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0.78</w:t>
            </w:r>
          </w:p>
        </w:tc>
        <w:tc>
          <w:tcPr>
            <w:tcW w:w="905" w:type="dxa"/>
            <w:tcBorders>
              <w:top w:val="single" w:color="auto" w:sz="4" w:space="0"/>
              <w:left w:val="single" w:color="auto" w:sz="4" w:space="0"/>
              <w:bottom w:val="nil"/>
              <w:right w:val="single" w:color="auto" w:sz="4" w:space="0"/>
            </w:tcBorders>
            <w:vAlign w:val="center"/>
          </w:tcPr>
          <w:p w14:paraId="0DA9DDB5">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lang w:val="en-US" w:eastAsia="zh-CN"/>
              </w:rPr>
              <w:t>0.67</w:t>
            </w:r>
          </w:p>
        </w:tc>
        <w:tc>
          <w:tcPr>
            <w:tcW w:w="720" w:type="dxa"/>
            <w:tcBorders>
              <w:top w:val="single" w:color="auto" w:sz="4" w:space="0"/>
              <w:left w:val="single" w:color="auto" w:sz="4" w:space="0"/>
              <w:bottom w:val="nil"/>
              <w:right w:val="single" w:color="auto" w:sz="4" w:space="0"/>
            </w:tcBorders>
            <w:vAlign w:val="center"/>
          </w:tcPr>
          <w:p w14:paraId="6B7DA6F8">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1.14</w:t>
            </w:r>
          </w:p>
        </w:tc>
      </w:tr>
      <w:tr w14:paraId="24BD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3C89F96">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5CD01C6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超白</w:t>
            </w:r>
            <w:r>
              <w:rPr>
                <w:rFonts w:hint="eastAsia" w:ascii="Times New Roman" w:hAnsi="Times New Roman"/>
                <w:color w:val="auto"/>
                <w:sz w:val="15"/>
                <w:szCs w:val="15"/>
              </w:rPr>
              <w:t>+0.76PVB+6</w:t>
            </w:r>
            <w:r>
              <w:rPr>
                <w:rFonts w:hint="eastAsia" w:ascii="Times New Roman" w:hAnsi="Times New Roman"/>
                <w:color w:val="auto"/>
                <w:sz w:val="15"/>
                <w:szCs w:val="15"/>
                <w:lang w:val="en-US" w:eastAsia="zh-CN"/>
              </w:rPr>
              <w:t>超白</w:t>
            </w:r>
          </w:p>
        </w:tc>
        <w:tc>
          <w:tcPr>
            <w:tcW w:w="895" w:type="dxa"/>
            <w:tcBorders>
              <w:top w:val="single" w:color="auto" w:sz="4" w:space="0"/>
              <w:left w:val="single" w:color="auto" w:sz="4" w:space="0"/>
              <w:bottom w:val="nil"/>
              <w:right w:val="single" w:color="auto" w:sz="4" w:space="0"/>
            </w:tcBorders>
            <w:vAlign w:val="center"/>
          </w:tcPr>
          <w:p w14:paraId="2A94EE5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0.91</w:t>
            </w:r>
          </w:p>
        </w:tc>
        <w:tc>
          <w:tcPr>
            <w:tcW w:w="796" w:type="dxa"/>
            <w:tcBorders>
              <w:top w:val="single" w:color="auto" w:sz="4" w:space="0"/>
              <w:left w:val="single" w:color="auto" w:sz="4" w:space="0"/>
              <w:bottom w:val="nil"/>
              <w:right w:val="single" w:color="auto" w:sz="4" w:space="0"/>
            </w:tcBorders>
            <w:vAlign w:val="center"/>
          </w:tcPr>
          <w:p w14:paraId="3E694015">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0.09</w:t>
            </w:r>
          </w:p>
        </w:tc>
        <w:tc>
          <w:tcPr>
            <w:tcW w:w="1047" w:type="dxa"/>
            <w:tcBorders>
              <w:top w:val="single" w:color="auto" w:sz="4" w:space="0"/>
              <w:left w:val="single" w:color="auto" w:sz="4" w:space="0"/>
              <w:bottom w:val="nil"/>
              <w:right w:val="single" w:color="auto" w:sz="4" w:space="0"/>
            </w:tcBorders>
            <w:vAlign w:val="center"/>
          </w:tcPr>
          <w:p w14:paraId="53158F4D">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0.82</w:t>
            </w:r>
          </w:p>
        </w:tc>
        <w:tc>
          <w:tcPr>
            <w:tcW w:w="851" w:type="dxa"/>
            <w:tcBorders>
              <w:top w:val="single" w:color="auto" w:sz="4" w:space="0"/>
              <w:left w:val="single" w:color="auto" w:sz="4" w:space="0"/>
              <w:bottom w:val="nil"/>
              <w:right w:val="single" w:color="auto" w:sz="4" w:space="0"/>
            </w:tcBorders>
            <w:vAlign w:val="center"/>
          </w:tcPr>
          <w:p w14:paraId="182772AD">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0.85</w:t>
            </w:r>
          </w:p>
        </w:tc>
        <w:tc>
          <w:tcPr>
            <w:tcW w:w="905" w:type="dxa"/>
            <w:tcBorders>
              <w:top w:val="single" w:color="auto" w:sz="4" w:space="0"/>
              <w:left w:val="single" w:color="auto" w:sz="4" w:space="0"/>
              <w:bottom w:val="nil"/>
              <w:right w:val="single" w:color="auto" w:sz="4" w:space="0"/>
            </w:tcBorders>
            <w:vAlign w:val="center"/>
          </w:tcPr>
          <w:p w14:paraId="55690A7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0.82</w:t>
            </w:r>
          </w:p>
        </w:tc>
        <w:tc>
          <w:tcPr>
            <w:tcW w:w="720" w:type="dxa"/>
            <w:tcBorders>
              <w:top w:val="single" w:color="auto" w:sz="4" w:space="0"/>
              <w:left w:val="single" w:color="auto" w:sz="4" w:space="0"/>
              <w:bottom w:val="nil"/>
              <w:right w:val="single" w:color="auto" w:sz="4" w:space="0"/>
            </w:tcBorders>
            <w:vAlign w:val="center"/>
          </w:tcPr>
          <w:p w14:paraId="6CE5738D">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1.07 </w:t>
            </w:r>
          </w:p>
        </w:tc>
      </w:tr>
      <w:tr w14:paraId="1256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4961029">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1A9F7874">
            <w:pPr>
              <w:spacing w:line="240" w:lineRule="auto"/>
              <w:jc w:val="center"/>
              <w:rPr>
                <w:rFonts w:hint="eastAsia"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超白</w:t>
            </w:r>
            <w:r>
              <w:rPr>
                <w:rFonts w:hint="eastAsia" w:ascii="Times New Roman" w:hAnsi="Times New Roman"/>
                <w:color w:val="auto"/>
                <w:sz w:val="15"/>
                <w:szCs w:val="15"/>
              </w:rPr>
              <w:t>+1.</w:t>
            </w:r>
            <w:r>
              <w:rPr>
                <w:rFonts w:hint="eastAsia" w:ascii="Times New Roman" w:hAnsi="Times New Roman"/>
                <w:color w:val="auto"/>
                <w:sz w:val="15"/>
                <w:szCs w:val="15"/>
                <w:lang w:val="en-US" w:eastAsia="zh-CN"/>
              </w:rPr>
              <w:t>14</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超白</w:t>
            </w:r>
          </w:p>
        </w:tc>
        <w:tc>
          <w:tcPr>
            <w:tcW w:w="895" w:type="dxa"/>
            <w:tcBorders>
              <w:top w:val="single" w:color="auto" w:sz="4" w:space="0"/>
              <w:left w:val="single" w:color="auto" w:sz="4" w:space="0"/>
              <w:bottom w:val="nil"/>
              <w:right w:val="single" w:color="auto" w:sz="4" w:space="0"/>
            </w:tcBorders>
            <w:vAlign w:val="center"/>
          </w:tcPr>
          <w:p w14:paraId="23CC77D7">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 xml:space="preserve">0.90 </w:t>
            </w:r>
          </w:p>
        </w:tc>
        <w:tc>
          <w:tcPr>
            <w:tcW w:w="796" w:type="dxa"/>
            <w:tcBorders>
              <w:top w:val="single" w:color="auto" w:sz="4" w:space="0"/>
              <w:left w:val="single" w:color="auto" w:sz="4" w:space="0"/>
              <w:bottom w:val="nil"/>
              <w:right w:val="single" w:color="auto" w:sz="4" w:space="0"/>
            </w:tcBorders>
            <w:vAlign w:val="center"/>
          </w:tcPr>
          <w:p w14:paraId="119DF494">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0.09</w:t>
            </w:r>
          </w:p>
        </w:tc>
        <w:tc>
          <w:tcPr>
            <w:tcW w:w="1047" w:type="dxa"/>
            <w:tcBorders>
              <w:top w:val="single" w:color="auto" w:sz="4" w:space="0"/>
              <w:left w:val="single" w:color="auto" w:sz="4" w:space="0"/>
              <w:bottom w:val="nil"/>
              <w:right w:val="single" w:color="auto" w:sz="4" w:space="0"/>
            </w:tcBorders>
            <w:vAlign w:val="center"/>
          </w:tcPr>
          <w:p w14:paraId="43086F6F">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0.82</w:t>
            </w:r>
          </w:p>
        </w:tc>
        <w:tc>
          <w:tcPr>
            <w:tcW w:w="851" w:type="dxa"/>
            <w:tcBorders>
              <w:top w:val="single" w:color="auto" w:sz="4" w:space="0"/>
              <w:left w:val="single" w:color="auto" w:sz="4" w:space="0"/>
              <w:bottom w:val="nil"/>
              <w:right w:val="single" w:color="auto" w:sz="4" w:space="0"/>
            </w:tcBorders>
            <w:vAlign w:val="center"/>
          </w:tcPr>
          <w:p w14:paraId="16863353">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0.84</w:t>
            </w:r>
          </w:p>
        </w:tc>
        <w:tc>
          <w:tcPr>
            <w:tcW w:w="905" w:type="dxa"/>
            <w:tcBorders>
              <w:top w:val="single" w:color="auto" w:sz="4" w:space="0"/>
              <w:left w:val="single" w:color="auto" w:sz="4" w:space="0"/>
              <w:bottom w:val="nil"/>
              <w:right w:val="single" w:color="auto" w:sz="4" w:space="0"/>
            </w:tcBorders>
            <w:vAlign w:val="center"/>
          </w:tcPr>
          <w:p w14:paraId="561B265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0.82</w:t>
            </w:r>
          </w:p>
        </w:tc>
        <w:tc>
          <w:tcPr>
            <w:tcW w:w="720" w:type="dxa"/>
            <w:tcBorders>
              <w:top w:val="single" w:color="auto" w:sz="4" w:space="0"/>
              <w:left w:val="single" w:color="auto" w:sz="4" w:space="0"/>
              <w:bottom w:val="nil"/>
              <w:right w:val="single" w:color="auto" w:sz="4" w:space="0"/>
            </w:tcBorders>
            <w:vAlign w:val="center"/>
          </w:tcPr>
          <w:p w14:paraId="2D0F550D">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lang w:val="en-US" w:eastAsia="zh-CN"/>
              </w:rPr>
              <w:t xml:space="preserve">1.07 </w:t>
            </w:r>
          </w:p>
        </w:tc>
      </w:tr>
      <w:tr w14:paraId="3C7E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5E24D8D6">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588D39C5">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超白</w:t>
            </w:r>
            <w:r>
              <w:rPr>
                <w:rFonts w:hint="eastAsia" w:ascii="Times New Roman" w:hAnsi="Times New Roman"/>
                <w:color w:val="auto"/>
                <w:sz w:val="15"/>
                <w:szCs w:val="15"/>
              </w:rPr>
              <w:t>+1.52PVB+6</w:t>
            </w:r>
            <w:r>
              <w:rPr>
                <w:rFonts w:hint="eastAsia" w:ascii="Times New Roman" w:hAnsi="Times New Roman"/>
                <w:color w:val="auto"/>
                <w:sz w:val="15"/>
                <w:szCs w:val="15"/>
                <w:lang w:val="en-US" w:eastAsia="zh-CN"/>
              </w:rPr>
              <w:t>超白</w:t>
            </w:r>
          </w:p>
        </w:tc>
        <w:tc>
          <w:tcPr>
            <w:tcW w:w="895" w:type="dxa"/>
            <w:tcBorders>
              <w:top w:val="single" w:color="auto" w:sz="4" w:space="0"/>
              <w:left w:val="single" w:color="auto" w:sz="4" w:space="0"/>
              <w:bottom w:val="nil"/>
              <w:right w:val="single" w:color="auto" w:sz="4" w:space="0"/>
            </w:tcBorders>
            <w:vAlign w:val="center"/>
          </w:tcPr>
          <w:p w14:paraId="49535F7B">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0.90 </w:t>
            </w:r>
          </w:p>
        </w:tc>
        <w:tc>
          <w:tcPr>
            <w:tcW w:w="796" w:type="dxa"/>
            <w:tcBorders>
              <w:top w:val="single" w:color="auto" w:sz="4" w:space="0"/>
              <w:left w:val="single" w:color="auto" w:sz="4" w:space="0"/>
              <w:bottom w:val="nil"/>
              <w:right w:val="single" w:color="auto" w:sz="4" w:space="0"/>
            </w:tcBorders>
            <w:vAlign w:val="center"/>
          </w:tcPr>
          <w:p w14:paraId="0DFBE3E6">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0.09</w:t>
            </w:r>
          </w:p>
        </w:tc>
        <w:tc>
          <w:tcPr>
            <w:tcW w:w="1047" w:type="dxa"/>
            <w:tcBorders>
              <w:top w:val="single" w:color="auto" w:sz="4" w:space="0"/>
              <w:left w:val="single" w:color="auto" w:sz="4" w:space="0"/>
              <w:bottom w:val="nil"/>
              <w:right w:val="single" w:color="auto" w:sz="4" w:space="0"/>
            </w:tcBorders>
            <w:vAlign w:val="center"/>
          </w:tcPr>
          <w:p w14:paraId="2DB7C65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0.81</w:t>
            </w:r>
          </w:p>
        </w:tc>
        <w:tc>
          <w:tcPr>
            <w:tcW w:w="851" w:type="dxa"/>
            <w:tcBorders>
              <w:top w:val="single" w:color="auto" w:sz="4" w:space="0"/>
              <w:left w:val="single" w:color="auto" w:sz="4" w:space="0"/>
              <w:bottom w:val="nil"/>
              <w:right w:val="single" w:color="auto" w:sz="4" w:space="0"/>
            </w:tcBorders>
            <w:vAlign w:val="center"/>
          </w:tcPr>
          <w:p w14:paraId="29E0A7EF">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0.84</w:t>
            </w:r>
          </w:p>
        </w:tc>
        <w:tc>
          <w:tcPr>
            <w:tcW w:w="905" w:type="dxa"/>
            <w:tcBorders>
              <w:top w:val="single" w:color="auto" w:sz="4" w:space="0"/>
              <w:left w:val="single" w:color="auto" w:sz="4" w:space="0"/>
              <w:bottom w:val="nil"/>
              <w:right w:val="single" w:color="auto" w:sz="4" w:space="0"/>
            </w:tcBorders>
            <w:vAlign w:val="center"/>
          </w:tcPr>
          <w:p w14:paraId="5BA62117">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0.81</w:t>
            </w:r>
          </w:p>
        </w:tc>
        <w:tc>
          <w:tcPr>
            <w:tcW w:w="720" w:type="dxa"/>
            <w:tcBorders>
              <w:top w:val="single" w:color="auto" w:sz="4" w:space="0"/>
              <w:left w:val="single" w:color="auto" w:sz="4" w:space="0"/>
              <w:bottom w:val="nil"/>
              <w:right w:val="single" w:color="auto" w:sz="4" w:space="0"/>
            </w:tcBorders>
            <w:vAlign w:val="center"/>
          </w:tcPr>
          <w:p w14:paraId="04CC4095">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1.07 </w:t>
            </w:r>
          </w:p>
        </w:tc>
      </w:tr>
      <w:tr w14:paraId="2784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C0751C6">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33D7A6D2">
            <w:pPr>
              <w:spacing w:line="240" w:lineRule="auto"/>
              <w:jc w:val="center"/>
              <w:rPr>
                <w:rFonts w:hint="eastAsia" w:ascii="Times New Roman" w:hAnsi="Times New Roman" w:eastAsia="宋体"/>
                <w:color w:val="auto"/>
                <w:sz w:val="15"/>
                <w:szCs w:val="15"/>
                <w:lang w:val="en-US" w:eastAsia="zh-CN"/>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浅</w:t>
            </w:r>
            <w:r>
              <w:rPr>
                <w:rFonts w:hint="eastAsia" w:ascii="Times New Roman" w:hAnsi="Times New Roman"/>
                <w:color w:val="auto"/>
                <w:sz w:val="15"/>
                <w:szCs w:val="15"/>
              </w:rPr>
              <w:t>绿+</w:t>
            </w:r>
            <w:r>
              <w:rPr>
                <w:rFonts w:hint="eastAsia" w:ascii="Times New Roman" w:hAnsi="Times New Roman"/>
                <w:color w:val="auto"/>
                <w:sz w:val="15"/>
                <w:szCs w:val="15"/>
                <w:lang w:val="en-US" w:eastAsia="zh-CN"/>
              </w:rPr>
              <w:t>1.52</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4DC1E1B2">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0.70 </w:t>
            </w:r>
          </w:p>
        </w:tc>
        <w:tc>
          <w:tcPr>
            <w:tcW w:w="796" w:type="dxa"/>
            <w:tcBorders>
              <w:top w:val="single" w:color="auto" w:sz="4" w:space="0"/>
              <w:left w:val="single" w:color="auto" w:sz="4" w:space="0"/>
              <w:bottom w:val="single" w:color="auto" w:sz="4" w:space="0"/>
              <w:right w:val="single" w:color="auto" w:sz="4" w:space="0"/>
            </w:tcBorders>
            <w:vAlign w:val="center"/>
          </w:tcPr>
          <w:p w14:paraId="1698AC2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0.07</w:t>
            </w:r>
          </w:p>
        </w:tc>
        <w:tc>
          <w:tcPr>
            <w:tcW w:w="1047" w:type="dxa"/>
            <w:tcBorders>
              <w:top w:val="single" w:color="auto" w:sz="4" w:space="0"/>
              <w:left w:val="single" w:color="auto" w:sz="4" w:space="0"/>
              <w:bottom w:val="single" w:color="auto" w:sz="4" w:space="0"/>
              <w:right w:val="single" w:color="auto" w:sz="4" w:space="0"/>
            </w:tcBorders>
            <w:vAlign w:val="center"/>
          </w:tcPr>
          <w:p w14:paraId="742DC2B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0.38</w:t>
            </w:r>
          </w:p>
        </w:tc>
        <w:tc>
          <w:tcPr>
            <w:tcW w:w="851" w:type="dxa"/>
            <w:tcBorders>
              <w:top w:val="single" w:color="auto" w:sz="4" w:space="0"/>
              <w:left w:val="single" w:color="auto" w:sz="4" w:space="0"/>
              <w:bottom w:val="single" w:color="auto" w:sz="4" w:space="0"/>
              <w:right w:val="single" w:color="auto" w:sz="4" w:space="0"/>
            </w:tcBorders>
            <w:vAlign w:val="center"/>
          </w:tcPr>
          <w:p w14:paraId="3322A27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0.55</w:t>
            </w:r>
          </w:p>
        </w:tc>
        <w:tc>
          <w:tcPr>
            <w:tcW w:w="905" w:type="dxa"/>
            <w:tcBorders>
              <w:top w:val="single" w:color="auto" w:sz="4" w:space="0"/>
              <w:left w:val="single" w:color="auto" w:sz="4" w:space="0"/>
              <w:bottom w:val="single" w:color="auto" w:sz="4" w:space="0"/>
              <w:right w:val="single" w:color="auto" w:sz="4" w:space="0"/>
            </w:tcBorders>
            <w:vAlign w:val="center"/>
          </w:tcPr>
          <w:p w14:paraId="0274EBCF">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0.39</w:t>
            </w:r>
          </w:p>
        </w:tc>
        <w:tc>
          <w:tcPr>
            <w:tcW w:w="720" w:type="dxa"/>
            <w:tcBorders>
              <w:top w:val="single" w:color="auto" w:sz="4" w:space="0"/>
              <w:left w:val="single" w:color="auto" w:sz="4" w:space="0"/>
              <w:bottom w:val="single" w:color="auto" w:sz="4" w:space="0"/>
              <w:right w:val="single" w:color="auto" w:sz="4" w:space="0"/>
            </w:tcBorders>
            <w:vAlign w:val="center"/>
          </w:tcPr>
          <w:p w14:paraId="103D4E07">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1.27 </w:t>
            </w:r>
          </w:p>
        </w:tc>
      </w:tr>
      <w:tr w14:paraId="01A6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77F40429">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295A5FA">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浅蓝</w:t>
            </w:r>
            <w:r>
              <w:rPr>
                <w:rFonts w:hint="eastAsia" w:ascii="Times New Roman" w:hAnsi="Times New Roman"/>
                <w:color w:val="auto"/>
                <w:sz w:val="15"/>
                <w:szCs w:val="15"/>
              </w:rPr>
              <w:t>+</w:t>
            </w:r>
            <w:r>
              <w:rPr>
                <w:rFonts w:hint="eastAsia" w:ascii="Times New Roman" w:hAnsi="Times New Roman"/>
                <w:color w:val="auto"/>
                <w:sz w:val="15"/>
                <w:szCs w:val="15"/>
                <w:lang w:val="en-US" w:eastAsia="zh-CN"/>
              </w:rPr>
              <w:t>1.52</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4681E99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0.72</w:t>
            </w:r>
          </w:p>
        </w:tc>
        <w:tc>
          <w:tcPr>
            <w:tcW w:w="796" w:type="dxa"/>
            <w:tcBorders>
              <w:top w:val="single" w:color="auto" w:sz="4" w:space="0"/>
              <w:left w:val="single" w:color="auto" w:sz="4" w:space="0"/>
              <w:bottom w:val="single" w:color="auto" w:sz="4" w:space="0"/>
              <w:right w:val="single" w:color="auto" w:sz="4" w:space="0"/>
            </w:tcBorders>
            <w:vAlign w:val="center"/>
          </w:tcPr>
          <w:p w14:paraId="531D40AF">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0.07</w:t>
            </w:r>
          </w:p>
        </w:tc>
        <w:tc>
          <w:tcPr>
            <w:tcW w:w="1047" w:type="dxa"/>
            <w:tcBorders>
              <w:top w:val="single" w:color="auto" w:sz="4" w:space="0"/>
              <w:left w:val="single" w:color="auto" w:sz="4" w:space="0"/>
              <w:bottom w:val="single" w:color="auto" w:sz="4" w:space="0"/>
              <w:right w:val="single" w:color="auto" w:sz="4" w:space="0"/>
            </w:tcBorders>
            <w:vAlign w:val="center"/>
          </w:tcPr>
          <w:p w14:paraId="46ECFA1F">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0.48</w:t>
            </w:r>
          </w:p>
        </w:tc>
        <w:tc>
          <w:tcPr>
            <w:tcW w:w="851" w:type="dxa"/>
            <w:tcBorders>
              <w:top w:val="single" w:color="auto" w:sz="4" w:space="0"/>
              <w:left w:val="single" w:color="auto" w:sz="4" w:space="0"/>
              <w:bottom w:val="single" w:color="auto" w:sz="4" w:space="0"/>
              <w:right w:val="single" w:color="auto" w:sz="4" w:space="0"/>
            </w:tcBorders>
            <w:vAlign w:val="center"/>
          </w:tcPr>
          <w:p w14:paraId="3A1ABE06">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0.61</w:t>
            </w:r>
          </w:p>
        </w:tc>
        <w:tc>
          <w:tcPr>
            <w:tcW w:w="905" w:type="dxa"/>
            <w:tcBorders>
              <w:top w:val="single" w:color="auto" w:sz="4" w:space="0"/>
              <w:left w:val="single" w:color="auto" w:sz="4" w:space="0"/>
              <w:bottom w:val="single" w:color="auto" w:sz="4" w:space="0"/>
              <w:right w:val="single" w:color="auto" w:sz="4" w:space="0"/>
            </w:tcBorders>
            <w:vAlign w:val="center"/>
          </w:tcPr>
          <w:p w14:paraId="34F8D228">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0.48</w:t>
            </w:r>
          </w:p>
        </w:tc>
        <w:tc>
          <w:tcPr>
            <w:tcW w:w="720" w:type="dxa"/>
            <w:tcBorders>
              <w:top w:val="single" w:color="auto" w:sz="4" w:space="0"/>
              <w:left w:val="single" w:color="auto" w:sz="4" w:space="0"/>
              <w:bottom w:val="single" w:color="auto" w:sz="4" w:space="0"/>
              <w:right w:val="single" w:color="auto" w:sz="4" w:space="0"/>
            </w:tcBorders>
            <w:vAlign w:val="center"/>
          </w:tcPr>
          <w:p w14:paraId="3232A4E7">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1.18 </w:t>
            </w:r>
          </w:p>
        </w:tc>
      </w:tr>
      <w:tr w14:paraId="746F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bottom w:val="single" w:color="auto" w:sz="4" w:space="0"/>
              <w:right w:val="single" w:color="auto" w:sz="4" w:space="0"/>
            </w:tcBorders>
            <w:vAlign w:val="center"/>
          </w:tcPr>
          <w:p w14:paraId="0E6BAD1E">
            <w:pPr>
              <w:spacing w:line="240" w:lineRule="auto"/>
              <w:jc w:val="center"/>
              <w:rPr>
                <w:rFonts w:hint="eastAsia"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AF87157">
            <w:pPr>
              <w:spacing w:line="240" w:lineRule="auto"/>
              <w:jc w:val="center"/>
              <w:rPr>
                <w:rFonts w:hint="eastAsia"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水晶灰</w:t>
            </w:r>
            <w:r>
              <w:rPr>
                <w:rFonts w:hint="eastAsia" w:ascii="Times New Roman" w:hAnsi="Times New Roman"/>
                <w:color w:val="auto"/>
                <w:sz w:val="15"/>
                <w:szCs w:val="15"/>
              </w:rPr>
              <w:t>+</w:t>
            </w:r>
            <w:r>
              <w:rPr>
                <w:rFonts w:hint="eastAsia" w:ascii="Times New Roman" w:hAnsi="Times New Roman"/>
                <w:color w:val="auto"/>
                <w:sz w:val="15"/>
                <w:szCs w:val="15"/>
                <w:lang w:val="en-US" w:eastAsia="zh-CN"/>
              </w:rPr>
              <w:t>1.52</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77EEA5C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0.62</w:t>
            </w:r>
          </w:p>
        </w:tc>
        <w:tc>
          <w:tcPr>
            <w:tcW w:w="796" w:type="dxa"/>
            <w:tcBorders>
              <w:top w:val="single" w:color="auto" w:sz="4" w:space="0"/>
              <w:left w:val="single" w:color="auto" w:sz="4" w:space="0"/>
              <w:bottom w:val="single" w:color="auto" w:sz="4" w:space="0"/>
              <w:right w:val="single" w:color="auto" w:sz="4" w:space="0"/>
            </w:tcBorders>
            <w:vAlign w:val="center"/>
          </w:tcPr>
          <w:p w14:paraId="7EFA371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0.06</w:t>
            </w:r>
          </w:p>
        </w:tc>
        <w:tc>
          <w:tcPr>
            <w:tcW w:w="1047" w:type="dxa"/>
            <w:tcBorders>
              <w:top w:val="single" w:color="auto" w:sz="4" w:space="0"/>
              <w:left w:val="single" w:color="auto" w:sz="4" w:space="0"/>
              <w:bottom w:val="single" w:color="auto" w:sz="4" w:space="0"/>
              <w:right w:val="single" w:color="auto" w:sz="4" w:space="0"/>
            </w:tcBorders>
            <w:vAlign w:val="center"/>
          </w:tcPr>
          <w:p w14:paraId="7AAEDBC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0.47</w:t>
            </w:r>
          </w:p>
        </w:tc>
        <w:tc>
          <w:tcPr>
            <w:tcW w:w="851" w:type="dxa"/>
            <w:tcBorders>
              <w:top w:val="single" w:color="auto" w:sz="4" w:space="0"/>
              <w:left w:val="single" w:color="auto" w:sz="4" w:space="0"/>
              <w:bottom w:val="single" w:color="auto" w:sz="4" w:space="0"/>
              <w:right w:val="single" w:color="auto" w:sz="4" w:space="0"/>
            </w:tcBorders>
            <w:vAlign w:val="center"/>
          </w:tcPr>
          <w:p w14:paraId="383E257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0.61</w:t>
            </w:r>
          </w:p>
        </w:tc>
        <w:tc>
          <w:tcPr>
            <w:tcW w:w="905" w:type="dxa"/>
            <w:tcBorders>
              <w:top w:val="single" w:color="auto" w:sz="4" w:space="0"/>
              <w:left w:val="single" w:color="auto" w:sz="4" w:space="0"/>
              <w:bottom w:val="single" w:color="auto" w:sz="4" w:space="0"/>
              <w:right w:val="single" w:color="auto" w:sz="4" w:space="0"/>
            </w:tcBorders>
            <w:vAlign w:val="center"/>
          </w:tcPr>
          <w:p w14:paraId="097477CB">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0.52</w:t>
            </w:r>
          </w:p>
        </w:tc>
        <w:tc>
          <w:tcPr>
            <w:tcW w:w="720" w:type="dxa"/>
            <w:tcBorders>
              <w:top w:val="single" w:color="auto" w:sz="4" w:space="0"/>
              <w:left w:val="single" w:color="auto" w:sz="4" w:space="0"/>
              <w:bottom w:val="single" w:color="auto" w:sz="4" w:space="0"/>
              <w:right w:val="single" w:color="auto" w:sz="4" w:space="0"/>
            </w:tcBorders>
            <w:vAlign w:val="center"/>
          </w:tcPr>
          <w:p w14:paraId="57C501E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1.02 </w:t>
            </w:r>
          </w:p>
        </w:tc>
      </w:tr>
      <w:tr w14:paraId="0F3B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4D36C6CC">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40B2ADF">
            <w:pPr>
              <w:spacing w:line="240" w:lineRule="auto"/>
              <w:jc w:val="center"/>
              <w:rPr>
                <w:rFonts w:ascii="Times New Roman" w:hAnsi="Times New Roman"/>
                <w:color w:val="auto"/>
                <w:sz w:val="15"/>
                <w:szCs w:val="15"/>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茶色</w:t>
            </w:r>
            <w:r>
              <w:rPr>
                <w:rFonts w:hint="eastAsia" w:ascii="Times New Roman" w:hAnsi="Times New Roman"/>
                <w:color w:val="auto"/>
                <w:sz w:val="15"/>
                <w:szCs w:val="15"/>
              </w:rPr>
              <w:t>+</w:t>
            </w:r>
            <w:r>
              <w:rPr>
                <w:rFonts w:hint="eastAsia" w:ascii="Times New Roman" w:hAnsi="Times New Roman"/>
                <w:color w:val="auto"/>
                <w:sz w:val="15"/>
                <w:szCs w:val="15"/>
                <w:lang w:val="en-US" w:eastAsia="zh-CN"/>
              </w:rPr>
              <w:t>1.52</w:t>
            </w:r>
            <w:r>
              <w:rPr>
                <w:rFonts w:hint="eastAsia" w:ascii="Times New Roman" w:hAnsi="Times New Roman"/>
                <w:color w:val="auto"/>
                <w:sz w:val="15"/>
                <w:szCs w:val="15"/>
              </w:rPr>
              <w:t>PVB+6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18C14390">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0.47</w:t>
            </w:r>
          </w:p>
        </w:tc>
        <w:tc>
          <w:tcPr>
            <w:tcW w:w="796" w:type="dxa"/>
            <w:tcBorders>
              <w:top w:val="single" w:color="auto" w:sz="4" w:space="0"/>
              <w:left w:val="single" w:color="auto" w:sz="4" w:space="0"/>
              <w:bottom w:val="single" w:color="auto" w:sz="4" w:space="0"/>
              <w:right w:val="single" w:color="auto" w:sz="4" w:space="0"/>
            </w:tcBorders>
            <w:vAlign w:val="center"/>
          </w:tcPr>
          <w:p w14:paraId="0EF1C5D2">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0.06</w:t>
            </w:r>
          </w:p>
        </w:tc>
        <w:tc>
          <w:tcPr>
            <w:tcW w:w="1047" w:type="dxa"/>
            <w:tcBorders>
              <w:top w:val="single" w:color="auto" w:sz="4" w:space="0"/>
              <w:left w:val="single" w:color="auto" w:sz="4" w:space="0"/>
              <w:bottom w:val="single" w:color="auto" w:sz="4" w:space="0"/>
              <w:right w:val="single" w:color="auto" w:sz="4" w:space="0"/>
            </w:tcBorders>
            <w:vAlign w:val="center"/>
          </w:tcPr>
          <w:p w14:paraId="77E2E7ED">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0.40 </w:t>
            </w:r>
          </w:p>
        </w:tc>
        <w:tc>
          <w:tcPr>
            <w:tcW w:w="851" w:type="dxa"/>
            <w:tcBorders>
              <w:top w:val="single" w:color="auto" w:sz="4" w:space="0"/>
              <w:left w:val="single" w:color="auto" w:sz="4" w:space="0"/>
              <w:bottom w:val="single" w:color="auto" w:sz="4" w:space="0"/>
              <w:right w:val="single" w:color="auto" w:sz="4" w:space="0"/>
            </w:tcBorders>
            <w:vAlign w:val="center"/>
          </w:tcPr>
          <w:p w14:paraId="2ABA25CE">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0.56</w:t>
            </w:r>
          </w:p>
        </w:tc>
        <w:tc>
          <w:tcPr>
            <w:tcW w:w="905" w:type="dxa"/>
            <w:tcBorders>
              <w:top w:val="single" w:color="auto" w:sz="4" w:space="0"/>
              <w:left w:val="single" w:color="auto" w:sz="4" w:space="0"/>
              <w:bottom w:val="single" w:color="auto" w:sz="4" w:space="0"/>
              <w:right w:val="single" w:color="auto" w:sz="4" w:space="0"/>
            </w:tcBorders>
            <w:vAlign w:val="center"/>
          </w:tcPr>
          <w:p w14:paraId="39364802">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0.53</w:t>
            </w:r>
          </w:p>
        </w:tc>
        <w:tc>
          <w:tcPr>
            <w:tcW w:w="720" w:type="dxa"/>
            <w:tcBorders>
              <w:top w:val="single" w:color="auto" w:sz="4" w:space="0"/>
              <w:left w:val="single" w:color="auto" w:sz="4" w:space="0"/>
              <w:bottom w:val="single" w:color="auto" w:sz="4" w:space="0"/>
              <w:right w:val="single" w:color="auto" w:sz="4" w:space="0"/>
            </w:tcBorders>
            <w:vAlign w:val="center"/>
          </w:tcPr>
          <w:p w14:paraId="79DDFD65">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0.84 </w:t>
            </w:r>
          </w:p>
        </w:tc>
      </w:tr>
      <w:tr w14:paraId="3DC0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restart"/>
            <w:tcBorders>
              <w:top w:val="single" w:color="auto" w:sz="4" w:space="0"/>
              <w:left w:val="single" w:color="auto" w:sz="4" w:space="0"/>
              <w:right w:val="single" w:color="auto" w:sz="4" w:space="0"/>
            </w:tcBorders>
            <w:vAlign w:val="center"/>
          </w:tcPr>
          <w:p w14:paraId="458ED916">
            <w:pPr>
              <w:jc w:val="center"/>
              <w:rPr>
                <w:rFonts w:ascii="Times New Roman" w:hAnsi="Times New Roman"/>
                <w:color w:val="auto"/>
                <w:sz w:val="15"/>
                <w:szCs w:val="15"/>
              </w:rPr>
            </w:pPr>
            <w:r>
              <w:rPr>
                <w:rFonts w:hint="eastAsia" w:ascii="Times New Roman" w:hAnsi="Times New Roman"/>
                <w:color w:val="auto"/>
                <w:sz w:val="15"/>
                <w:szCs w:val="15"/>
              </w:rPr>
              <w:t>Low-E中空玻璃</w:t>
            </w:r>
          </w:p>
        </w:tc>
        <w:tc>
          <w:tcPr>
            <w:tcW w:w="2538" w:type="dxa"/>
            <w:tcBorders>
              <w:top w:val="single" w:color="auto" w:sz="4" w:space="0"/>
              <w:left w:val="single" w:color="auto" w:sz="4" w:space="0"/>
              <w:bottom w:val="single" w:color="auto" w:sz="4" w:space="0"/>
              <w:right w:val="single" w:color="auto" w:sz="4" w:space="0"/>
            </w:tcBorders>
            <w:vAlign w:val="center"/>
          </w:tcPr>
          <w:p w14:paraId="6A9E7653">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6单银Low-E+12A+6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044DA43B">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0.78</w:t>
            </w:r>
          </w:p>
        </w:tc>
        <w:tc>
          <w:tcPr>
            <w:tcW w:w="796" w:type="dxa"/>
            <w:tcBorders>
              <w:top w:val="single" w:color="auto" w:sz="4" w:space="0"/>
              <w:left w:val="single" w:color="auto" w:sz="4" w:space="0"/>
              <w:bottom w:val="single" w:color="auto" w:sz="4" w:space="0"/>
              <w:right w:val="single" w:color="auto" w:sz="4" w:space="0"/>
            </w:tcBorders>
            <w:vAlign w:val="center"/>
          </w:tcPr>
          <w:p w14:paraId="5C542649">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0.12</w:t>
            </w:r>
          </w:p>
        </w:tc>
        <w:tc>
          <w:tcPr>
            <w:tcW w:w="1047" w:type="dxa"/>
            <w:tcBorders>
              <w:top w:val="single" w:color="auto" w:sz="4" w:space="0"/>
              <w:left w:val="single" w:color="auto" w:sz="4" w:space="0"/>
              <w:bottom w:val="single" w:color="auto" w:sz="4" w:space="0"/>
              <w:right w:val="single" w:color="auto" w:sz="4" w:space="0"/>
            </w:tcBorders>
            <w:vAlign w:val="center"/>
          </w:tcPr>
          <w:p w14:paraId="22218C36">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0.55</w:t>
            </w:r>
          </w:p>
        </w:tc>
        <w:tc>
          <w:tcPr>
            <w:tcW w:w="851" w:type="dxa"/>
            <w:tcBorders>
              <w:top w:val="single" w:color="auto" w:sz="4" w:space="0"/>
              <w:left w:val="single" w:color="auto" w:sz="4" w:space="0"/>
              <w:bottom w:val="single" w:color="auto" w:sz="4" w:space="0"/>
              <w:right w:val="single" w:color="auto" w:sz="4" w:space="0"/>
            </w:tcBorders>
            <w:vAlign w:val="center"/>
          </w:tcPr>
          <w:p w14:paraId="43256486">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0.61</w:t>
            </w:r>
          </w:p>
        </w:tc>
        <w:tc>
          <w:tcPr>
            <w:tcW w:w="905" w:type="dxa"/>
            <w:tcBorders>
              <w:top w:val="single" w:color="auto" w:sz="4" w:space="0"/>
              <w:left w:val="single" w:color="auto" w:sz="4" w:space="0"/>
              <w:bottom w:val="single" w:color="auto" w:sz="4" w:space="0"/>
              <w:right w:val="single" w:color="auto" w:sz="4" w:space="0"/>
            </w:tcBorders>
            <w:vAlign w:val="center"/>
          </w:tcPr>
          <w:p w14:paraId="04990ED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0.41</w:t>
            </w:r>
          </w:p>
        </w:tc>
        <w:tc>
          <w:tcPr>
            <w:tcW w:w="720" w:type="dxa"/>
            <w:tcBorders>
              <w:top w:val="single" w:color="auto" w:sz="4" w:space="0"/>
              <w:left w:val="single" w:color="auto" w:sz="4" w:space="0"/>
              <w:bottom w:val="single" w:color="auto" w:sz="4" w:space="0"/>
              <w:right w:val="single" w:color="auto" w:sz="4" w:space="0"/>
            </w:tcBorders>
            <w:vAlign w:val="center"/>
          </w:tcPr>
          <w:p w14:paraId="6B77D423">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1.28 </w:t>
            </w:r>
          </w:p>
        </w:tc>
      </w:tr>
      <w:tr w14:paraId="6D28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5C7CB028">
            <w:pPr>
              <w:jc w:val="center"/>
              <w:rPr>
                <w:rFonts w:hint="eastAsia"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65996A5">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普白</w:t>
            </w:r>
            <w:r>
              <w:rPr>
                <w:rFonts w:hint="eastAsia" w:ascii="Times New Roman" w:hAnsi="Times New Roman"/>
                <w:color w:val="auto"/>
                <w:sz w:val="15"/>
                <w:szCs w:val="15"/>
              </w:rPr>
              <w:t>+12A+6单银Low-E</w:t>
            </w:r>
          </w:p>
        </w:tc>
        <w:tc>
          <w:tcPr>
            <w:tcW w:w="895" w:type="dxa"/>
            <w:tcBorders>
              <w:top w:val="single" w:color="auto" w:sz="4" w:space="0"/>
              <w:left w:val="single" w:color="auto" w:sz="4" w:space="0"/>
              <w:bottom w:val="single" w:color="auto" w:sz="4" w:space="0"/>
              <w:right w:val="single" w:color="auto" w:sz="4" w:space="0"/>
            </w:tcBorders>
            <w:vAlign w:val="center"/>
          </w:tcPr>
          <w:p w14:paraId="5F286F2C">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78</w:t>
            </w:r>
          </w:p>
        </w:tc>
        <w:tc>
          <w:tcPr>
            <w:tcW w:w="796" w:type="dxa"/>
            <w:tcBorders>
              <w:top w:val="single" w:color="auto" w:sz="4" w:space="0"/>
              <w:left w:val="single" w:color="auto" w:sz="4" w:space="0"/>
              <w:bottom w:val="single" w:color="auto" w:sz="4" w:space="0"/>
              <w:right w:val="single" w:color="auto" w:sz="4" w:space="0"/>
            </w:tcBorders>
            <w:vAlign w:val="center"/>
          </w:tcPr>
          <w:p w14:paraId="1B331572">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0.13</w:t>
            </w:r>
          </w:p>
        </w:tc>
        <w:tc>
          <w:tcPr>
            <w:tcW w:w="1047" w:type="dxa"/>
            <w:tcBorders>
              <w:top w:val="single" w:color="auto" w:sz="4" w:space="0"/>
              <w:left w:val="single" w:color="auto" w:sz="4" w:space="0"/>
              <w:bottom w:val="single" w:color="auto" w:sz="4" w:space="0"/>
              <w:right w:val="single" w:color="auto" w:sz="4" w:space="0"/>
            </w:tcBorders>
            <w:vAlign w:val="center"/>
          </w:tcPr>
          <w:p w14:paraId="4A1A965C">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55</w:t>
            </w:r>
          </w:p>
        </w:tc>
        <w:tc>
          <w:tcPr>
            <w:tcW w:w="851" w:type="dxa"/>
            <w:tcBorders>
              <w:top w:val="single" w:color="auto" w:sz="4" w:space="0"/>
              <w:left w:val="single" w:color="auto" w:sz="4" w:space="0"/>
              <w:bottom w:val="single" w:color="auto" w:sz="4" w:space="0"/>
              <w:right w:val="single" w:color="auto" w:sz="4" w:space="0"/>
            </w:tcBorders>
            <w:vAlign w:val="center"/>
          </w:tcPr>
          <w:p w14:paraId="42C46050">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w:t>
            </w:r>
            <w:r>
              <w:rPr>
                <w:rFonts w:hint="eastAsia" w:ascii="Times New Roman" w:hAnsi="Times New Roman"/>
                <w:color w:val="auto"/>
                <w:sz w:val="15"/>
                <w:szCs w:val="15"/>
                <w:lang w:val="en-US" w:eastAsia="zh-CN"/>
              </w:rPr>
              <w:t>5</w:t>
            </w:r>
          </w:p>
        </w:tc>
        <w:tc>
          <w:tcPr>
            <w:tcW w:w="905" w:type="dxa"/>
            <w:tcBorders>
              <w:top w:val="single" w:color="auto" w:sz="4" w:space="0"/>
              <w:left w:val="single" w:color="auto" w:sz="4" w:space="0"/>
              <w:bottom w:val="single" w:color="auto" w:sz="4" w:space="0"/>
              <w:right w:val="single" w:color="auto" w:sz="4" w:space="0"/>
            </w:tcBorders>
            <w:vAlign w:val="center"/>
          </w:tcPr>
          <w:p w14:paraId="14D0C57B">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0.45</w:t>
            </w:r>
          </w:p>
        </w:tc>
        <w:tc>
          <w:tcPr>
            <w:tcW w:w="720" w:type="dxa"/>
            <w:tcBorders>
              <w:top w:val="single" w:color="auto" w:sz="4" w:space="0"/>
              <w:left w:val="single" w:color="auto" w:sz="4" w:space="0"/>
              <w:bottom w:val="single" w:color="auto" w:sz="4" w:space="0"/>
              <w:right w:val="single" w:color="auto" w:sz="4" w:space="0"/>
            </w:tcBorders>
            <w:vAlign w:val="center"/>
          </w:tcPr>
          <w:p w14:paraId="4DB00A29">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1.10</w:t>
            </w:r>
          </w:p>
        </w:tc>
      </w:tr>
      <w:tr w14:paraId="3EA4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DF010F4">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B85D51A">
            <w:pPr>
              <w:spacing w:line="240" w:lineRule="auto"/>
              <w:jc w:val="center"/>
              <w:rPr>
                <w:rFonts w:hint="eastAsia" w:ascii="Times New Roman" w:hAnsi="Times New Roman" w:eastAsia="宋体"/>
                <w:color w:val="auto"/>
                <w:sz w:val="15"/>
                <w:szCs w:val="15"/>
                <w:lang w:eastAsia="zh-CN"/>
              </w:rPr>
            </w:pPr>
            <w:r>
              <w:rPr>
                <w:rFonts w:hint="eastAsia" w:ascii="Times New Roman" w:hAnsi="Times New Roman"/>
                <w:color w:val="auto"/>
                <w:sz w:val="15"/>
                <w:szCs w:val="15"/>
              </w:rPr>
              <w:t>6单银Low-E+12 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055A4A22">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0.65</w:t>
            </w:r>
          </w:p>
        </w:tc>
        <w:tc>
          <w:tcPr>
            <w:tcW w:w="796" w:type="dxa"/>
            <w:tcBorders>
              <w:top w:val="single" w:color="auto" w:sz="4" w:space="0"/>
              <w:left w:val="single" w:color="auto" w:sz="4" w:space="0"/>
              <w:bottom w:val="single" w:color="auto" w:sz="4" w:space="0"/>
              <w:right w:val="single" w:color="auto" w:sz="4" w:space="0"/>
            </w:tcBorders>
            <w:vAlign w:val="center"/>
          </w:tcPr>
          <w:p w14:paraId="2D691B31">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45CB117C">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0.44</w:t>
            </w:r>
          </w:p>
        </w:tc>
        <w:tc>
          <w:tcPr>
            <w:tcW w:w="851" w:type="dxa"/>
            <w:tcBorders>
              <w:top w:val="single" w:color="auto" w:sz="4" w:space="0"/>
              <w:left w:val="single" w:color="auto" w:sz="4" w:space="0"/>
              <w:bottom w:val="single" w:color="auto" w:sz="4" w:space="0"/>
              <w:right w:val="single" w:color="auto" w:sz="4" w:space="0"/>
            </w:tcBorders>
            <w:vAlign w:val="center"/>
          </w:tcPr>
          <w:p w14:paraId="63CDB116">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0.51</w:t>
            </w:r>
          </w:p>
        </w:tc>
        <w:tc>
          <w:tcPr>
            <w:tcW w:w="905" w:type="dxa"/>
            <w:tcBorders>
              <w:top w:val="single" w:color="auto" w:sz="4" w:space="0"/>
              <w:left w:val="single" w:color="auto" w:sz="4" w:space="0"/>
              <w:bottom w:val="single" w:color="auto" w:sz="4" w:space="0"/>
              <w:right w:val="single" w:color="auto" w:sz="4" w:space="0"/>
            </w:tcBorders>
            <w:vAlign w:val="center"/>
          </w:tcPr>
          <w:p w14:paraId="1F23A9AE">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0.32</w:t>
            </w:r>
          </w:p>
        </w:tc>
        <w:tc>
          <w:tcPr>
            <w:tcW w:w="720" w:type="dxa"/>
            <w:tcBorders>
              <w:top w:val="single" w:color="auto" w:sz="4" w:space="0"/>
              <w:left w:val="single" w:color="auto" w:sz="4" w:space="0"/>
              <w:bottom w:val="single" w:color="auto" w:sz="4" w:space="0"/>
              <w:right w:val="single" w:color="auto" w:sz="4" w:space="0"/>
            </w:tcBorders>
            <w:vAlign w:val="center"/>
          </w:tcPr>
          <w:p w14:paraId="237113E0">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1.27</w:t>
            </w:r>
          </w:p>
        </w:tc>
      </w:tr>
      <w:tr w14:paraId="0761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259BD5DF">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55C4FBA">
            <w:pPr>
              <w:spacing w:line="240" w:lineRule="auto"/>
              <w:jc w:val="center"/>
              <w:rPr>
                <w:rFonts w:hint="eastAsia" w:ascii="Times New Roman" w:hAnsi="Times New Roman" w:eastAsia="宋体"/>
                <w:color w:val="auto"/>
                <w:sz w:val="15"/>
                <w:szCs w:val="15"/>
                <w:lang w:eastAsia="zh-CN"/>
              </w:rPr>
            </w:pPr>
            <w:r>
              <w:rPr>
                <w:rFonts w:hint="eastAsia" w:ascii="Times New Roman" w:hAnsi="Times New Roman"/>
                <w:color w:val="auto"/>
                <w:sz w:val="15"/>
                <w:szCs w:val="15"/>
              </w:rPr>
              <w:t>6单银Low-E+12 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3E2077E1">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0.57</w:t>
            </w:r>
          </w:p>
        </w:tc>
        <w:tc>
          <w:tcPr>
            <w:tcW w:w="796" w:type="dxa"/>
            <w:tcBorders>
              <w:top w:val="single" w:color="auto" w:sz="4" w:space="0"/>
              <w:left w:val="single" w:color="auto" w:sz="4" w:space="0"/>
              <w:bottom w:val="single" w:color="auto" w:sz="4" w:space="0"/>
              <w:right w:val="single" w:color="auto" w:sz="4" w:space="0"/>
            </w:tcBorders>
            <w:vAlign w:val="center"/>
          </w:tcPr>
          <w:p w14:paraId="0834ABFD">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0.18</w:t>
            </w:r>
          </w:p>
        </w:tc>
        <w:tc>
          <w:tcPr>
            <w:tcW w:w="1047" w:type="dxa"/>
            <w:tcBorders>
              <w:top w:val="single" w:color="auto" w:sz="4" w:space="0"/>
              <w:left w:val="single" w:color="auto" w:sz="4" w:space="0"/>
              <w:bottom w:val="single" w:color="auto" w:sz="4" w:space="0"/>
              <w:right w:val="single" w:color="auto" w:sz="4" w:space="0"/>
            </w:tcBorders>
            <w:vAlign w:val="center"/>
          </w:tcPr>
          <w:p w14:paraId="52314E4F">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0.36</w:t>
            </w:r>
          </w:p>
        </w:tc>
        <w:tc>
          <w:tcPr>
            <w:tcW w:w="851" w:type="dxa"/>
            <w:tcBorders>
              <w:top w:val="single" w:color="auto" w:sz="4" w:space="0"/>
              <w:left w:val="single" w:color="auto" w:sz="4" w:space="0"/>
              <w:bottom w:val="single" w:color="auto" w:sz="4" w:space="0"/>
              <w:right w:val="single" w:color="auto" w:sz="4" w:space="0"/>
            </w:tcBorders>
            <w:vAlign w:val="center"/>
          </w:tcPr>
          <w:p w14:paraId="1782E884">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0.43</w:t>
            </w:r>
          </w:p>
        </w:tc>
        <w:tc>
          <w:tcPr>
            <w:tcW w:w="905" w:type="dxa"/>
            <w:tcBorders>
              <w:top w:val="single" w:color="auto" w:sz="4" w:space="0"/>
              <w:left w:val="single" w:color="auto" w:sz="4" w:space="0"/>
              <w:bottom w:val="single" w:color="auto" w:sz="4" w:space="0"/>
              <w:right w:val="single" w:color="auto" w:sz="4" w:space="0"/>
            </w:tcBorders>
            <w:vAlign w:val="center"/>
          </w:tcPr>
          <w:p w14:paraId="1AB3B918">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0.26</w:t>
            </w:r>
          </w:p>
        </w:tc>
        <w:tc>
          <w:tcPr>
            <w:tcW w:w="720" w:type="dxa"/>
            <w:tcBorders>
              <w:top w:val="single" w:color="auto" w:sz="4" w:space="0"/>
              <w:left w:val="single" w:color="auto" w:sz="4" w:space="0"/>
              <w:bottom w:val="single" w:color="auto" w:sz="4" w:space="0"/>
              <w:right w:val="single" w:color="auto" w:sz="4" w:space="0"/>
            </w:tcBorders>
            <w:vAlign w:val="center"/>
          </w:tcPr>
          <w:p w14:paraId="10B2A5F7">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1.34</w:t>
            </w:r>
          </w:p>
        </w:tc>
      </w:tr>
      <w:tr w14:paraId="1C7C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blHeader/>
          <w:jc w:val="center"/>
        </w:trPr>
        <w:tc>
          <w:tcPr>
            <w:tcW w:w="1444" w:type="dxa"/>
            <w:vMerge w:val="continue"/>
            <w:tcBorders>
              <w:left w:val="single" w:color="auto" w:sz="4" w:space="0"/>
              <w:right w:val="single" w:color="auto" w:sz="4" w:space="0"/>
            </w:tcBorders>
            <w:vAlign w:val="center"/>
          </w:tcPr>
          <w:p w14:paraId="173A77A6">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D93C7E1">
            <w:pPr>
              <w:spacing w:line="240" w:lineRule="auto"/>
              <w:jc w:val="center"/>
              <w:rPr>
                <w:rFonts w:hint="eastAsia" w:ascii="Times New Roman" w:hAnsi="Times New Roman" w:eastAsia="宋体"/>
                <w:color w:val="auto"/>
                <w:sz w:val="15"/>
                <w:szCs w:val="15"/>
                <w:lang w:eastAsia="zh-CN"/>
              </w:rPr>
            </w:pPr>
            <w:r>
              <w:rPr>
                <w:rFonts w:hint="eastAsia" w:ascii="Times New Roman" w:hAnsi="Times New Roman"/>
                <w:color w:val="auto"/>
                <w:sz w:val="15"/>
                <w:szCs w:val="15"/>
              </w:rPr>
              <w:t>6双银Low-E+12 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7697858F">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0.66</w:t>
            </w:r>
          </w:p>
        </w:tc>
        <w:tc>
          <w:tcPr>
            <w:tcW w:w="796" w:type="dxa"/>
            <w:tcBorders>
              <w:top w:val="single" w:color="auto" w:sz="4" w:space="0"/>
              <w:left w:val="single" w:color="auto" w:sz="4" w:space="0"/>
              <w:bottom w:val="single" w:color="auto" w:sz="4" w:space="0"/>
              <w:right w:val="single" w:color="auto" w:sz="4" w:space="0"/>
            </w:tcBorders>
            <w:vAlign w:val="center"/>
          </w:tcPr>
          <w:p w14:paraId="6F6C1504">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0F14F7DA">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0.34</w:t>
            </w:r>
          </w:p>
        </w:tc>
        <w:tc>
          <w:tcPr>
            <w:tcW w:w="851" w:type="dxa"/>
            <w:tcBorders>
              <w:top w:val="single" w:color="auto" w:sz="4" w:space="0"/>
              <w:left w:val="single" w:color="auto" w:sz="4" w:space="0"/>
              <w:bottom w:val="single" w:color="auto" w:sz="4" w:space="0"/>
              <w:right w:val="single" w:color="auto" w:sz="4" w:space="0"/>
            </w:tcBorders>
            <w:vAlign w:val="center"/>
          </w:tcPr>
          <w:p w14:paraId="498DCA4C">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0.40</w:t>
            </w:r>
          </w:p>
        </w:tc>
        <w:tc>
          <w:tcPr>
            <w:tcW w:w="905" w:type="dxa"/>
            <w:tcBorders>
              <w:top w:val="single" w:color="auto" w:sz="4" w:space="0"/>
              <w:left w:val="single" w:color="auto" w:sz="4" w:space="0"/>
              <w:bottom w:val="single" w:color="auto" w:sz="4" w:space="0"/>
              <w:right w:val="single" w:color="auto" w:sz="4" w:space="0"/>
            </w:tcBorders>
            <w:vAlign w:val="center"/>
          </w:tcPr>
          <w:p w14:paraId="0D4C065A">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0.13</w:t>
            </w:r>
          </w:p>
        </w:tc>
        <w:tc>
          <w:tcPr>
            <w:tcW w:w="720" w:type="dxa"/>
            <w:tcBorders>
              <w:top w:val="single" w:color="auto" w:sz="4" w:space="0"/>
              <w:left w:val="single" w:color="auto" w:sz="4" w:space="0"/>
              <w:bottom w:val="single" w:color="auto" w:sz="4" w:space="0"/>
              <w:right w:val="single" w:color="auto" w:sz="4" w:space="0"/>
            </w:tcBorders>
            <w:vAlign w:val="center"/>
          </w:tcPr>
          <w:p w14:paraId="7F62AC97">
            <w:pPr>
              <w:spacing w:line="240" w:lineRule="auto"/>
              <w:jc w:val="center"/>
              <w:rPr>
                <w:rFonts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1.65</w:t>
            </w:r>
          </w:p>
        </w:tc>
      </w:tr>
      <w:tr w14:paraId="2679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1444" w:type="dxa"/>
            <w:vMerge w:val="continue"/>
            <w:tcBorders>
              <w:left w:val="single" w:color="auto" w:sz="4" w:space="0"/>
              <w:right w:val="single" w:color="auto" w:sz="4" w:space="0"/>
            </w:tcBorders>
            <w:vAlign w:val="center"/>
          </w:tcPr>
          <w:p w14:paraId="653F0127">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185D40B3">
            <w:pPr>
              <w:spacing w:line="240" w:lineRule="auto"/>
              <w:jc w:val="center"/>
              <w:rPr>
                <w:rFonts w:hint="eastAsia" w:ascii="Times New Roman" w:hAnsi="Times New Roman" w:eastAsia="宋体"/>
                <w:color w:val="auto"/>
                <w:sz w:val="15"/>
                <w:szCs w:val="15"/>
                <w:lang w:eastAsia="zh-CN"/>
              </w:rPr>
            </w:pPr>
            <w:r>
              <w:rPr>
                <w:rFonts w:hint="eastAsia" w:ascii="Times New Roman" w:hAnsi="Times New Roman"/>
                <w:color w:val="auto"/>
                <w:sz w:val="15"/>
                <w:szCs w:val="15"/>
              </w:rPr>
              <w:t>6双银Low-E+12A+6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2A306053">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52</w:t>
            </w:r>
          </w:p>
        </w:tc>
        <w:tc>
          <w:tcPr>
            <w:tcW w:w="796" w:type="dxa"/>
            <w:tcBorders>
              <w:top w:val="single" w:color="auto" w:sz="4" w:space="0"/>
              <w:left w:val="single" w:color="auto" w:sz="4" w:space="0"/>
              <w:bottom w:val="single" w:color="auto" w:sz="4" w:space="0"/>
              <w:right w:val="single" w:color="auto" w:sz="4" w:space="0"/>
            </w:tcBorders>
            <w:vAlign w:val="center"/>
          </w:tcPr>
          <w:p w14:paraId="2BF9B5C4">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w:t>
            </w:r>
            <w:r>
              <w:rPr>
                <w:rFonts w:hint="eastAsia" w:ascii="Times New Roman" w:hAnsi="Times New Roman"/>
                <w:color w:val="auto"/>
                <w:sz w:val="15"/>
                <w:szCs w:val="15"/>
                <w:lang w:val="en-US" w:eastAsia="zh-CN"/>
              </w:rPr>
              <w:t>9</w:t>
            </w:r>
          </w:p>
        </w:tc>
        <w:tc>
          <w:tcPr>
            <w:tcW w:w="1047" w:type="dxa"/>
            <w:tcBorders>
              <w:top w:val="single" w:color="auto" w:sz="4" w:space="0"/>
              <w:left w:val="single" w:color="auto" w:sz="4" w:space="0"/>
              <w:bottom w:val="single" w:color="auto" w:sz="4" w:space="0"/>
              <w:right w:val="single" w:color="auto" w:sz="4" w:space="0"/>
            </w:tcBorders>
            <w:vAlign w:val="center"/>
          </w:tcPr>
          <w:p w14:paraId="284AAA87">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30</w:t>
            </w:r>
          </w:p>
        </w:tc>
        <w:tc>
          <w:tcPr>
            <w:tcW w:w="851" w:type="dxa"/>
            <w:tcBorders>
              <w:top w:val="single" w:color="auto" w:sz="4" w:space="0"/>
              <w:left w:val="single" w:color="auto" w:sz="4" w:space="0"/>
              <w:bottom w:val="single" w:color="auto" w:sz="4" w:space="0"/>
              <w:right w:val="single" w:color="auto" w:sz="4" w:space="0"/>
            </w:tcBorders>
            <w:vAlign w:val="center"/>
          </w:tcPr>
          <w:p w14:paraId="722D7931">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34</w:t>
            </w:r>
          </w:p>
        </w:tc>
        <w:tc>
          <w:tcPr>
            <w:tcW w:w="905" w:type="dxa"/>
            <w:tcBorders>
              <w:top w:val="single" w:color="auto" w:sz="4" w:space="0"/>
              <w:left w:val="single" w:color="auto" w:sz="4" w:space="0"/>
              <w:bottom w:val="single" w:color="auto" w:sz="4" w:space="0"/>
              <w:right w:val="single" w:color="auto" w:sz="4" w:space="0"/>
            </w:tcBorders>
            <w:vAlign w:val="center"/>
          </w:tcPr>
          <w:p w14:paraId="05BF9747">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14</w:t>
            </w:r>
          </w:p>
        </w:tc>
        <w:tc>
          <w:tcPr>
            <w:tcW w:w="720" w:type="dxa"/>
            <w:tcBorders>
              <w:top w:val="single" w:color="auto" w:sz="4" w:space="0"/>
              <w:left w:val="single" w:color="auto" w:sz="4" w:space="0"/>
              <w:bottom w:val="single" w:color="auto" w:sz="4" w:space="0"/>
              <w:right w:val="single" w:color="auto" w:sz="4" w:space="0"/>
            </w:tcBorders>
            <w:vAlign w:val="center"/>
          </w:tcPr>
          <w:p w14:paraId="14798E96">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w:t>
            </w:r>
            <w:r>
              <w:rPr>
                <w:rFonts w:hint="eastAsia" w:ascii="Times New Roman" w:hAnsi="Times New Roman"/>
                <w:color w:val="auto"/>
                <w:sz w:val="15"/>
                <w:szCs w:val="15"/>
                <w:lang w:val="en-US" w:eastAsia="zh-CN"/>
              </w:rPr>
              <w:t>52</w:t>
            </w:r>
          </w:p>
        </w:tc>
      </w:tr>
      <w:tr w14:paraId="60E5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blHeader/>
          <w:jc w:val="center"/>
        </w:trPr>
        <w:tc>
          <w:tcPr>
            <w:tcW w:w="1444" w:type="dxa"/>
            <w:vMerge w:val="continue"/>
            <w:tcBorders>
              <w:left w:val="single" w:color="auto" w:sz="4" w:space="0"/>
              <w:right w:val="single" w:color="auto" w:sz="4" w:space="0"/>
            </w:tcBorders>
            <w:vAlign w:val="center"/>
          </w:tcPr>
          <w:p w14:paraId="127595E5">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A18887D">
            <w:pPr>
              <w:spacing w:line="240" w:lineRule="auto"/>
              <w:jc w:val="center"/>
              <w:rPr>
                <w:rFonts w:hint="eastAsia" w:ascii="Times New Roman" w:hAnsi="Times New Roman" w:eastAsia="宋体"/>
                <w:color w:val="auto"/>
                <w:sz w:val="15"/>
                <w:szCs w:val="15"/>
                <w:lang w:eastAsia="zh-CN"/>
              </w:rPr>
            </w:pPr>
            <w:r>
              <w:rPr>
                <w:rFonts w:hint="eastAsia" w:ascii="Times New Roman" w:hAnsi="Times New Roman"/>
                <w:color w:val="auto"/>
                <w:sz w:val="15"/>
                <w:szCs w:val="15"/>
              </w:rPr>
              <w:t>6双银Low-E+12A+6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3149080E">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45</w:t>
            </w:r>
          </w:p>
        </w:tc>
        <w:tc>
          <w:tcPr>
            <w:tcW w:w="796" w:type="dxa"/>
            <w:tcBorders>
              <w:top w:val="single" w:color="auto" w:sz="4" w:space="0"/>
              <w:left w:val="single" w:color="auto" w:sz="4" w:space="0"/>
              <w:bottom w:val="single" w:color="auto" w:sz="4" w:space="0"/>
              <w:right w:val="single" w:color="auto" w:sz="4" w:space="0"/>
            </w:tcBorders>
            <w:vAlign w:val="center"/>
          </w:tcPr>
          <w:p w14:paraId="2C500251">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30</w:t>
            </w:r>
          </w:p>
        </w:tc>
        <w:tc>
          <w:tcPr>
            <w:tcW w:w="1047" w:type="dxa"/>
            <w:tcBorders>
              <w:top w:val="single" w:color="auto" w:sz="4" w:space="0"/>
              <w:left w:val="single" w:color="auto" w:sz="4" w:space="0"/>
              <w:bottom w:val="single" w:color="auto" w:sz="4" w:space="0"/>
              <w:right w:val="single" w:color="auto" w:sz="4" w:space="0"/>
            </w:tcBorders>
            <w:vAlign w:val="center"/>
          </w:tcPr>
          <w:p w14:paraId="2AF0BF41">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25</w:t>
            </w:r>
          </w:p>
        </w:tc>
        <w:tc>
          <w:tcPr>
            <w:tcW w:w="851" w:type="dxa"/>
            <w:tcBorders>
              <w:top w:val="single" w:color="auto" w:sz="4" w:space="0"/>
              <w:left w:val="single" w:color="auto" w:sz="4" w:space="0"/>
              <w:bottom w:val="single" w:color="auto" w:sz="4" w:space="0"/>
              <w:right w:val="single" w:color="auto" w:sz="4" w:space="0"/>
            </w:tcBorders>
            <w:vAlign w:val="center"/>
          </w:tcPr>
          <w:p w14:paraId="0A465D15">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29</w:t>
            </w:r>
          </w:p>
        </w:tc>
        <w:tc>
          <w:tcPr>
            <w:tcW w:w="905" w:type="dxa"/>
            <w:tcBorders>
              <w:top w:val="single" w:color="auto" w:sz="4" w:space="0"/>
              <w:left w:val="single" w:color="auto" w:sz="4" w:space="0"/>
              <w:bottom w:val="single" w:color="auto" w:sz="4" w:space="0"/>
              <w:right w:val="single" w:color="auto" w:sz="4" w:space="0"/>
            </w:tcBorders>
            <w:vAlign w:val="center"/>
          </w:tcPr>
          <w:p w14:paraId="15A40417">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0.</w:t>
            </w:r>
            <w:r>
              <w:rPr>
                <w:rFonts w:hint="eastAsia" w:ascii="Times New Roman" w:hAnsi="Times New Roman"/>
                <w:color w:val="auto"/>
                <w:sz w:val="15"/>
                <w:szCs w:val="15"/>
                <w:highlight w:val="none"/>
                <w:lang w:val="en-US" w:eastAsia="zh-CN"/>
              </w:rPr>
              <w:t>11</w:t>
            </w:r>
          </w:p>
        </w:tc>
        <w:tc>
          <w:tcPr>
            <w:tcW w:w="720" w:type="dxa"/>
            <w:tcBorders>
              <w:top w:val="single" w:color="auto" w:sz="4" w:space="0"/>
              <w:left w:val="single" w:color="auto" w:sz="4" w:space="0"/>
              <w:bottom w:val="single" w:color="auto" w:sz="4" w:space="0"/>
              <w:right w:val="single" w:color="auto" w:sz="4" w:space="0"/>
            </w:tcBorders>
            <w:vAlign w:val="center"/>
          </w:tcPr>
          <w:p w14:paraId="0FD8350E">
            <w:pPr>
              <w:spacing w:line="240" w:lineRule="auto"/>
              <w:jc w:val="center"/>
              <w:rPr>
                <w:rFonts w:hint="default" w:ascii="Times New Roman" w:hAnsi="Times New Roman" w:eastAsia="宋体" w:cs="Times New Roman"/>
                <w:color w:val="auto"/>
                <w:kern w:val="2"/>
                <w:sz w:val="15"/>
                <w:szCs w:val="15"/>
                <w:highlight w:val="none"/>
                <w:lang w:val="en-US" w:eastAsia="zh-CN" w:bidi="ar-SA"/>
              </w:rPr>
            </w:pPr>
            <w:r>
              <w:rPr>
                <w:rFonts w:hint="eastAsia" w:ascii="Times New Roman" w:hAnsi="Times New Roman"/>
                <w:color w:val="auto"/>
                <w:sz w:val="15"/>
                <w:szCs w:val="15"/>
                <w:highlight w:val="none"/>
              </w:rPr>
              <w:t>1.</w:t>
            </w:r>
            <w:r>
              <w:rPr>
                <w:rFonts w:hint="eastAsia" w:ascii="Times New Roman" w:hAnsi="Times New Roman"/>
                <w:color w:val="auto"/>
                <w:sz w:val="15"/>
                <w:szCs w:val="15"/>
                <w:highlight w:val="none"/>
                <w:lang w:val="en-US" w:eastAsia="zh-CN"/>
              </w:rPr>
              <w:t>55</w:t>
            </w:r>
          </w:p>
        </w:tc>
      </w:tr>
      <w:tr w14:paraId="501C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2A308AA3">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58F2710">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三银</w:t>
            </w:r>
            <w:r>
              <w:rPr>
                <w:rFonts w:hint="eastAsia" w:ascii="Times New Roman" w:hAnsi="Times New Roman"/>
                <w:color w:val="auto"/>
                <w:sz w:val="15"/>
                <w:szCs w:val="15"/>
              </w:rPr>
              <w:t>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5466D994">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0.66</w:t>
            </w:r>
          </w:p>
        </w:tc>
        <w:tc>
          <w:tcPr>
            <w:tcW w:w="796" w:type="dxa"/>
            <w:tcBorders>
              <w:top w:val="single" w:color="auto" w:sz="4" w:space="0"/>
              <w:left w:val="single" w:color="auto" w:sz="4" w:space="0"/>
              <w:bottom w:val="single" w:color="auto" w:sz="4" w:space="0"/>
              <w:right w:val="single" w:color="auto" w:sz="4" w:space="0"/>
            </w:tcBorders>
            <w:vAlign w:val="center"/>
          </w:tcPr>
          <w:p w14:paraId="39F5ECD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2EB680A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0.29</w:t>
            </w:r>
          </w:p>
        </w:tc>
        <w:tc>
          <w:tcPr>
            <w:tcW w:w="851" w:type="dxa"/>
            <w:tcBorders>
              <w:top w:val="single" w:color="auto" w:sz="4" w:space="0"/>
              <w:left w:val="single" w:color="auto" w:sz="4" w:space="0"/>
              <w:bottom w:val="single" w:color="auto" w:sz="4" w:space="0"/>
              <w:right w:val="single" w:color="auto" w:sz="4" w:space="0"/>
            </w:tcBorders>
            <w:vAlign w:val="center"/>
          </w:tcPr>
          <w:p w14:paraId="09AE67F3">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0.33</w:t>
            </w:r>
          </w:p>
        </w:tc>
        <w:tc>
          <w:tcPr>
            <w:tcW w:w="905" w:type="dxa"/>
            <w:tcBorders>
              <w:top w:val="single" w:color="auto" w:sz="4" w:space="0"/>
              <w:left w:val="single" w:color="auto" w:sz="4" w:space="0"/>
              <w:bottom w:val="single" w:color="auto" w:sz="4" w:space="0"/>
              <w:right w:val="single" w:color="auto" w:sz="4" w:space="0"/>
            </w:tcBorders>
            <w:vAlign w:val="center"/>
          </w:tcPr>
          <w:p w14:paraId="01C1704A">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0.05</w:t>
            </w:r>
          </w:p>
        </w:tc>
        <w:tc>
          <w:tcPr>
            <w:tcW w:w="720" w:type="dxa"/>
            <w:tcBorders>
              <w:top w:val="single" w:color="auto" w:sz="4" w:space="0"/>
              <w:left w:val="single" w:color="auto" w:sz="4" w:space="0"/>
              <w:bottom w:val="single" w:color="auto" w:sz="4" w:space="0"/>
              <w:right w:val="single" w:color="auto" w:sz="4" w:space="0"/>
            </w:tcBorders>
            <w:vAlign w:val="center"/>
          </w:tcPr>
          <w:p w14:paraId="4DC76F0E">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2.00</w:t>
            </w:r>
          </w:p>
        </w:tc>
      </w:tr>
      <w:tr w14:paraId="2061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6117F531">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FA44EA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6三银Low-E＋12A＋6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053D32B2">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0.61</w:t>
            </w:r>
          </w:p>
        </w:tc>
        <w:tc>
          <w:tcPr>
            <w:tcW w:w="796" w:type="dxa"/>
            <w:tcBorders>
              <w:top w:val="single" w:color="auto" w:sz="4" w:space="0"/>
              <w:left w:val="single" w:color="auto" w:sz="4" w:space="0"/>
              <w:bottom w:val="single" w:color="auto" w:sz="4" w:space="0"/>
              <w:right w:val="single" w:color="auto" w:sz="4" w:space="0"/>
            </w:tcBorders>
            <w:vAlign w:val="center"/>
          </w:tcPr>
          <w:p w14:paraId="201F6904">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18AB4521">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0.28</w:t>
            </w:r>
          </w:p>
        </w:tc>
        <w:tc>
          <w:tcPr>
            <w:tcW w:w="851" w:type="dxa"/>
            <w:tcBorders>
              <w:top w:val="single" w:color="auto" w:sz="4" w:space="0"/>
              <w:left w:val="single" w:color="auto" w:sz="4" w:space="0"/>
              <w:bottom w:val="single" w:color="auto" w:sz="4" w:space="0"/>
              <w:right w:val="single" w:color="auto" w:sz="4" w:space="0"/>
            </w:tcBorders>
            <w:vAlign w:val="center"/>
          </w:tcPr>
          <w:p w14:paraId="743C8045">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0.32</w:t>
            </w:r>
          </w:p>
        </w:tc>
        <w:tc>
          <w:tcPr>
            <w:tcW w:w="905" w:type="dxa"/>
            <w:tcBorders>
              <w:top w:val="single" w:color="auto" w:sz="4" w:space="0"/>
              <w:left w:val="single" w:color="auto" w:sz="4" w:space="0"/>
              <w:bottom w:val="single" w:color="auto" w:sz="4" w:space="0"/>
              <w:right w:val="single" w:color="auto" w:sz="4" w:space="0"/>
            </w:tcBorders>
            <w:vAlign w:val="center"/>
          </w:tcPr>
          <w:p w14:paraId="253337D2">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0.04</w:t>
            </w:r>
          </w:p>
        </w:tc>
        <w:tc>
          <w:tcPr>
            <w:tcW w:w="720" w:type="dxa"/>
            <w:tcBorders>
              <w:top w:val="single" w:color="auto" w:sz="4" w:space="0"/>
              <w:left w:val="single" w:color="auto" w:sz="4" w:space="0"/>
              <w:bottom w:val="single" w:color="auto" w:sz="4" w:space="0"/>
              <w:right w:val="single" w:color="auto" w:sz="4" w:space="0"/>
            </w:tcBorders>
            <w:vAlign w:val="center"/>
          </w:tcPr>
          <w:p w14:paraId="12A39A19">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1.91</w:t>
            </w:r>
          </w:p>
        </w:tc>
      </w:tr>
      <w:tr w14:paraId="6F61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14C91AB3">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4D57AB79">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6三银Low-E＋12A＋6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54E6E38A">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0.4</w:t>
            </w:r>
            <w:r>
              <w:rPr>
                <w:rFonts w:hint="eastAsia" w:ascii="Times New Roman" w:hAnsi="Times New Roman"/>
                <w:color w:val="auto"/>
                <w:sz w:val="15"/>
                <w:szCs w:val="15"/>
                <w:lang w:val="en-US" w:eastAsia="zh-CN"/>
              </w:rPr>
              <w:t>4</w:t>
            </w:r>
          </w:p>
        </w:tc>
        <w:tc>
          <w:tcPr>
            <w:tcW w:w="796" w:type="dxa"/>
            <w:tcBorders>
              <w:top w:val="single" w:color="auto" w:sz="4" w:space="0"/>
              <w:left w:val="single" w:color="auto" w:sz="4" w:space="0"/>
              <w:bottom w:val="single" w:color="auto" w:sz="4" w:space="0"/>
              <w:right w:val="single" w:color="auto" w:sz="4" w:space="0"/>
            </w:tcBorders>
            <w:vAlign w:val="center"/>
          </w:tcPr>
          <w:p w14:paraId="2D5D1C69">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2</w:t>
            </w:r>
            <w:r>
              <w:rPr>
                <w:rFonts w:hint="eastAsia" w:ascii="Times New Roman" w:hAnsi="Times New Roman"/>
                <w:color w:val="auto"/>
                <w:sz w:val="15"/>
                <w:szCs w:val="15"/>
              </w:rPr>
              <w:t>5</w:t>
            </w:r>
          </w:p>
        </w:tc>
        <w:tc>
          <w:tcPr>
            <w:tcW w:w="1047" w:type="dxa"/>
            <w:tcBorders>
              <w:top w:val="single" w:color="auto" w:sz="4" w:space="0"/>
              <w:left w:val="single" w:color="auto" w:sz="4" w:space="0"/>
              <w:bottom w:val="single" w:color="auto" w:sz="4" w:space="0"/>
              <w:right w:val="single" w:color="auto" w:sz="4" w:space="0"/>
            </w:tcBorders>
            <w:vAlign w:val="center"/>
          </w:tcPr>
          <w:p w14:paraId="27DFEEC8">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w:t>
            </w:r>
            <w:r>
              <w:rPr>
                <w:rFonts w:hint="eastAsia" w:ascii="Times New Roman" w:hAnsi="Times New Roman"/>
                <w:color w:val="auto"/>
                <w:sz w:val="15"/>
                <w:szCs w:val="15"/>
                <w:lang w:val="en-US" w:eastAsia="zh-CN"/>
              </w:rPr>
              <w:t>19</w:t>
            </w:r>
          </w:p>
        </w:tc>
        <w:tc>
          <w:tcPr>
            <w:tcW w:w="851" w:type="dxa"/>
            <w:tcBorders>
              <w:top w:val="single" w:color="auto" w:sz="4" w:space="0"/>
              <w:left w:val="single" w:color="auto" w:sz="4" w:space="0"/>
              <w:bottom w:val="single" w:color="auto" w:sz="4" w:space="0"/>
              <w:right w:val="single" w:color="auto" w:sz="4" w:space="0"/>
            </w:tcBorders>
            <w:vAlign w:val="center"/>
          </w:tcPr>
          <w:p w14:paraId="03EA6AF5">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0.2</w:t>
            </w:r>
            <w:r>
              <w:rPr>
                <w:rFonts w:hint="eastAsia" w:ascii="Times New Roman" w:hAnsi="Times New Roman"/>
                <w:color w:val="auto"/>
                <w:sz w:val="15"/>
                <w:szCs w:val="15"/>
                <w:lang w:val="en-US" w:eastAsia="zh-CN"/>
              </w:rPr>
              <w:t>3</w:t>
            </w:r>
          </w:p>
        </w:tc>
        <w:tc>
          <w:tcPr>
            <w:tcW w:w="905" w:type="dxa"/>
            <w:tcBorders>
              <w:top w:val="single" w:color="auto" w:sz="4" w:space="0"/>
              <w:left w:val="single" w:color="auto" w:sz="4" w:space="0"/>
              <w:bottom w:val="single" w:color="auto" w:sz="4" w:space="0"/>
              <w:right w:val="single" w:color="auto" w:sz="4" w:space="0"/>
            </w:tcBorders>
            <w:vAlign w:val="center"/>
          </w:tcPr>
          <w:p w14:paraId="3BBC2291">
            <w:pPr>
              <w:spacing w:line="240" w:lineRule="auto"/>
              <w:jc w:val="center"/>
              <w:rPr>
                <w:rFonts w:hint="default" w:ascii="Times New Roman" w:hAnsi="Times New Roman" w:eastAsia="宋体" w:cs="Times New Roman"/>
                <w:color w:val="auto"/>
                <w:kern w:val="2"/>
                <w:sz w:val="15"/>
                <w:szCs w:val="15"/>
                <w:highlight w:val="yellow"/>
                <w:lang w:val="en-US" w:eastAsia="zh-CN" w:bidi="ar-SA"/>
              </w:rPr>
            </w:pPr>
            <w:r>
              <w:rPr>
                <w:rFonts w:hint="eastAsia" w:ascii="Times New Roman" w:hAnsi="Times New Roman"/>
                <w:color w:val="auto"/>
                <w:sz w:val="15"/>
                <w:szCs w:val="15"/>
                <w:highlight w:val="none"/>
                <w:lang w:val="en-US" w:eastAsia="zh-CN"/>
              </w:rPr>
              <w:t>0.03</w:t>
            </w:r>
          </w:p>
        </w:tc>
        <w:tc>
          <w:tcPr>
            <w:tcW w:w="720" w:type="dxa"/>
            <w:tcBorders>
              <w:top w:val="single" w:color="auto" w:sz="4" w:space="0"/>
              <w:left w:val="single" w:color="auto" w:sz="4" w:space="0"/>
              <w:bottom w:val="single" w:color="auto" w:sz="4" w:space="0"/>
              <w:right w:val="single" w:color="auto" w:sz="4" w:space="0"/>
            </w:tcBorders>
            <w:vAlign w:val="center"/>
          </w:tcPr>
          <w:p w14:paraId="48B53937">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lang w:val="en-US" w:eastAsia="zh-CN"/>
              </w:rPr>
              <w:t>1.93</w:t>
            </w:r>
          </w:p>
        </w:tc>
      </w:tr>
      <w:tr w14:paraId="4F34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44" w:type="dxa"/>
            <w:vMerge w:val="continue"/>
            <w:tcBorders>
              <w:left w:val="single" w:color="auto" w:sz="4" w:space="0"/>
              <w:right w:val="single" w:color="auto" w:sz="4" w:space="0"/>
            </w:tcBorders>
            <w:vAlign w:val="center"/>
          </w:tcPr>
          <w:p w14:paraId="64DA0E8E">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46581699">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在线</w:t>
            </w:r>
            <w:r>
              <w:rPr>
                <w:rFonts w:hint="eastAsia" w:ascii="Times New Roman" w:hAnsi="Times New Roman"/>
                <w:color w:val="auto"/>
                <w:sz w:val="15"/>
                <w:szCs w:val="15"/>
              </w:rPr>
              <w:t>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4B74DA26">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0.73</w:t>
            </w:r>
          </w:p>
        </w:tc>
        <w:tc>
          <w:tcPr>
            <w:tcW w:w="796" w:type="dxa"/>
            <w:tcBorders>
              <w:top w:val="single" w:color="auto" w:sz="4" w:space="0"/>
              <w:left w:val="single" w:color="auto" w:sz="4" w:space="0"/>
              <w:bottom w:val="single" w:color="auto" w:sz="4" w:space="0"/>
              <w:right w:val="single" w:color="auto" w:sz="4" w:space="0"/>
            </w:tcBorders>
            <w:vAlign w:val="center"/>
          </w:tcPr>
          <w:p w14:paraId="3695C77C">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0.16</w:t>
            </w:r>
          </w:p>
        </w:tc>
        <w:tc>
          <w:tcPr>
            <w:tcW w:w="1047" w:type="dxa"/>
            <w:tcBorders>
              <w:top w:val="single" w:color="auto" w:sz="4" w:space="0"/>
              <w:left w:val="single" w:color="auto" w:sz="4" w:space="0"/>
              <w:bottom w:val="single" w:color="auto" w:sz="4" w:space="0"/>
              <w:right w:val="single" w:color="auto" w:sz="4" w:space="0"/>
            </w:tcBorders>
            <w:vAlign w:val="center"/>
          </w:tcPr>
          <w:p w14:paraId="07C85ECE">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0.57</w:t>
            </w:r>
          </w:p>
        </w:tc>
        <w:tc>
          <w:tcPr>
            <w:tcW w:w="851" w:type="dxa"/>
            <w:tcBorders>
              <w:top w:val="single" w:color="auto" w:sz="4" w:space="0"/>
              <w:left w:val="single" w:color="auto" w:sz="4" w:space="0"/>
              <w:bottom w:val="single" w:color="auto" w:sz="4" w:space="0"/>
              <w:right w:val="single" w:color="auto" w:sz="4" w:space="0"/>
            </w:tcBorders>
            <w:vAlign w:val="center"/>
          </w:tcPr>
          <w:p w14:paraId="0595B0F5">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0.64</w:t>
            </w:r>
          </w:p>
        </w:tc>
        <w:tc>
          <w:tcPr>
            <w:tcW w:w="905" w:type="dxa"/>
            <w:tcBorders>
              <w:top w:val="single" w:color="auto" w:sz="4" w:space="0"/>
              <w:left w:val="single" w:color="auto" w:sz="4" w:space="0"/>
              <w:bottom w:val="single" w:color="auto" w:sz="4" w:space="0"/>
              <w:right w:val="single" w:color="auto" w:sz="4" w:space="0"/>
            </w:tcBorders>
            <w:vAlign w:val="center"/>
          </w:tcPr>
          <w:p w14:paraId="529A5800">
            <w:pPr>
              <w:spacing w:line="240" w:lineRule="auto"/>
              <w:jc w:val="center"/>
              <w:rPr>
                <w:rFonts w:hint="eastAsia" w:ascii="Times New Roman" w:hAnsi="Times New Roman" w:eastAsia="宋体"/>
                <w:color w:val="auto"/>
                <w:sz w:val="15"/>
                <w:szCs w:val="15"/>
                <w:lang w:val="en-US" w:eastAsia="zh-CN"/>
              </w:rPr>
            </w:pPr>
            <w:r>
              <w:rPr>
                <w:rFonts w:hint="eastAsia" w:ascii="Times New Roman" w:hAnsi="Times New Roman"/>
                <w:color w:val="auto"/>
                <w:sz w:val="15"/>
                <w:szCs w:val="15"/>
              </w:rPr>
              <w:t>0.5</w:t>
            </w:r>
            <w:r>
              <w:rPr>
                <w:rFonts w:hint="eastAsia" w:ascii="Times New Roman" w:hAnsi="Times New Roman"/>
                <w:color w:val="auto"/>
                <w:sz w:val="15"/>
                <w:szCs w:val="15"/>
                <w:lang w:val="en-US" w:eastAsia="zh-CN"/>
              </w:rPr>
              <w:t>4</w:t>
            </w:r>
          </w:p>
        </w:tc>
        <w:tc>
          <w:tcPr>
            <w:tcW w:w="720" w:type="dxa"/>
            <w:tcBorders>
              <w:top w:val="single" w:color="auto" w:sz="4" w:space="0"/>
              <w:left w:val="single" w:color="auto" w:sz="4" w:space="0"/>
              <w:bottom w:val="single" w:color="auto" w:sz="4" w:space="0"/>
              <w:right w:val="single" w:color="auto" w:sz="4" w:space="0"/>
            </w:tcBorders>
            <w:vAlign w:val="center"/>
          </w:tcPr>
          <w:p w14:paraId="49AACF51">
            <w:pPr>
              <w:spacing w:line="240" w:lineRule="auto"/>
              <w:jc w:val="center"/>
              <w:rPr>
                <w:rFonts w:hint="eastAsia" w:ascii="Times New Roman" w:hAnsi="Times New Roman"/>
                <w:color w:val="auto"/>
                <w:sz w:val="15"/>
                <w:szCs w:val="15"/>
                <w:lang w:val="en-US" w:eastAsia="zh-CN"/>
              </w:rPr>
            </w:pPr>
            <w:r>
              <w:rPr>
                <w:rFonts w:hint="eastAsia" w:ascii="Times New Roman" w:hAnsi="Times New Roman"/>
                <w:color w:val="auto"/>
                <w:sz w:val="15"/>
                <w:szCs w:val="15"/>
              </w:rPr>
              <w:t xml:space="preserve">1.14 </w:t>
            </w:r>
          </w:p>
        </w:tc>
      </w:tr>
      <w:tr w14:paraId="10F2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03193115">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3A8188D1">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在线</w:t>
            </w:r>
            <w:r>
              <w:rPr>
                <w:rFonts w:hint="eastAsia" w:ascii="Times New Roman" w:hAnsi="Times New Roman"/>
                <w:color w:val="auto"/>
                <w:sz w:val="15"/>
                <w:szCs w:val="15"/>
              </w:rPr>
              <w:t>Low-E＋12A＋6</w:t>
            </w:r>
            <w:r>
              <w:rPr>
                <w:rFonts w:hint="eastAsia" w:ascii="Times New Roman" w:hAnsi="Times New Roman"/>
                <w:color w:val="auto"/>
                <w:sz w:val="15"/>
                <w:szCs w:val="15"/>
                <w:lang w:val="en-US" w:eastAsia="zh-CN"/>
              </w:rPr>
              <w:t>普白</w:t>
            </w:r>
          </w:p>
        </w:tc>
        <w:tc>
          <w:tcPr>
            <w:tcW w:w="895" w:type="dxa"/>
            <w:tcBorders>
              <w:top w:val="single" w:color="auto" w:sz="4" w:space="0"/>
              <w:left w:val="single" w:color="auto" w:sz="4" w:space="0"/>
              <w:bottom w:val="single" w:color="auto" w:sz="4" w:space="0"/>
              <w:right w:val="single" w:color="auto" w:sz="4" w:space="0"/>
            </w:tcBorders>
            <w:vAlign w:val="center"/>
          </w:tcPr>
          <w:p w14:paraId="64A39A39">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0.60</w:t>
            </w:r>
          </w:p>
        </w:tc>
        <w:tc>
          <w:tcPr>
            <w:tcW w:w="796" w:type="dxa"/>
            <w:tcBorders>
              <w:top w:val="single" w:color="auto" w:sz="4" w:space="0"/>
              <w:left w:val="single" w:color="auto" w:sz="4" w:space="0"/>
              <w:bottom w:val="single" w:color="auto" w:sz="4" w:space="0"/>
              <w:right w:val="single" w:color="auto" w:sz="4" w:space="0"/>
            </w:tcBorders>
            <w:vAlign w:val="center"/>
          </w:tcPr>
          <w:p w14:paraId="35AA8BB0">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0.13</w:t>
            </w:r>
          </w:p>
        </w:tc>
        <w:tc>
          <w:tcPr>
            <w:tcW w:w="1047" w:type="dxa"/>
            <w:tcBorders>
              <w:top w:val="single" w:color="auto" w:sz="4" w:space="0"/>
              <w:left w:val="single" w:color="auto" w:sz="4" w:space="0"/>
              <w:bottom w:val="single" w:color="auto" w:sz="4" w:space="0"/>
              <w:right w:val="single" w:color="auto" w:sz="4" w:space="0"/>
            </w:tcBorders>
            <w:vAlign w:val="center"/>
          </w:tcPr>
          <w:p w14:paraId="595717B2">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0.45</w:t>
            </w:r>
          </w:p>
        </w:tc>
        <w:tc>
          <w:tcPr>
            <w:tcW w:w="851" w:type="dxa"/>
            <w:tcBorders>
              <w:top w:val="single" w:color="auto" w:sz="4" w:space="0"/>
              <w:left w:val="single" w:color="auto" w:sz="4" w:space="0"/>
              <w:bottom w:val="single" w:color="auto" w:sz="4" w:space="0"/>
              <w:right w:val="single" w:color="auto" w:sz="4" w:space="0"/>
            </w:tcBorders>
            <w:vAlign w:val="center"/>
          </w:tcPr>
          <w:p w14:paraId="71E361CB">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0.52</w:t>
            </w:r>
          </w:p>
        </w:tc>
        <w:tc>
          <w:tcPr>
            <w:tcW w:w="905" w:type="dxa"/>
            <w:tcBorders>
              <w:top w:val="single" w:color="auto" w:sz="4" w:space="0"/>
              <w:left w:val="single" w:color="auto" w:sz="4" w:space="0"/>
              <w:bottom w:val="single" w:color="auto" w:sz="4" w:space="0"/>
              <w:right w:val="single" w:color="auto" w:sz="4" w:space="0"/>
            </w:tcBorders>
            <w:vAlign w:val="center"/>
          </w:tcPr>
          <w:p w14:paraId="063E6332">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0.39</w:t>
            </w:r>
          </w:p>
        </w:tc>
        <w:tc>
          <w:tcPr>
            <w:tcW w:w="720" w:type="dxa"/>
            <w:tcBorders>
              <w:top w:val="single" w:color="auto" w:sz="4" w:space="0"/>
              <w:left w:val="single" w:color="auto" w:sz="4" w:space="0"/>
              <w:bottom w:val="single" w:color="auto" w:sz="4" w:space="0"/>
              <w:right w:val="single" w:color="auto" w:sz="4" w:space="0"/>
            </w:tcBorders>
            <w:vAlign w:val="center"/>
          </w:tcPr>
          <w:p w14:paraId="5E4B97F9">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1.15</w:t>
            </w:r>
          </w:p>
        </w:tc>
      </w:tr>
      <w:tr w14:paraId="0B50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522E0F87">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579CF937">
            <w:pPr>
              <w:spacing w:line="240" w:lineRule="auto"/>
              <w:jc w:val="center"/>
              <w:rPr>
                <w:rFonts w:hint="default"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单</w:t>
            </w:r>
            <w:r>
              <w:rPr>
                <w:rFonts w:hint="eastAsia" w:ascii="Times New Roman" w:hAnsi="Times New Roman"/>
                <w:color w:val="auto"/>
                <w:sz w:val="15"/>
                <w:szCs w:val="15"/>
              </w:rPr>
              <w:t>银Low-E＋12A＋6</w:t>
            </w:r>
            <w:r>
              <w:rPr>
                <w:rFonts w:hint="eastAsia" w:ascii="Times New Roman" w:hAnsi="Times New Roman"/>
                <w:color w:val="auto"/>
                <w:sz w:val="15"/>
                <w:szCs w:val="15"/>
                <w:lang w:val="en-US" w:eastAsia="zh-CN"/>
              </w:rPr>
              <w:t>无银Low-E</w:t>
            </w:r>
          </w:p>
        </w:tc>
        <w:tc>
          <w:tcPr>
            <w:tcW w:w="895" w:type="dxa"/>
            <w:tcBorders>
              <w:top w:val="single" w:color="auto" w:sz="4" w:space="0"/>
              <w:left w:val="single" w:color="auto" w:sz="4" w:space="0"/>
              <w:bottom w:val="single" w:color="auto" w:sz="4" w:space="0"/>
              <w:right w:val="single" w:color="auto" w:sz="4" w:space="0"/>
            </w:tcBorders>
            <w:vAlign w:val="center"/>
          </w:tcPr>
          <w:p w14:paraId="246CA0BD">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0.78</w:t>
            </w:r>
          </w:p>
        </w:tc>
        <w:tc>
          <w:tcPr>
            <w:tcW w:w="796" w:type="dxa"/>
            <w:tcBorders>
              <w:top w:val="single" w:color="auto" w:sz="4" w:space="0"/>
              <w:left w:val="single" w:color="auto" w:sz="4" w:space="0"/>
              <w:bottom w:val="single" w:color="auto" w:sz="4" w:space="0"/>
              <w:right w:val="single" w:color="auto" w:sz="4" w:space="0"/>
            </w:tcBorders>
            <w:vAlign w:val="center"/>
          </w:tcPr>
          <w:p w14:paraId="735C4031">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0.12</w:t>
            </w:r>
          </w:p>
        </w:tc>
        <w:tc>
          <w:tcPr>
            <w:tcW w:w="1047" w:type="dxa"/>
            <w:tcBorders>
              <w:top w:val="single" w:color="auto" w:sz="4" w:space="0"/>
              <w:left w:val="single" w:color="auto" w:sz="4" w:space="0"/>
              <w:bottom w:val="single" w:color="auto" w:sz="4" w:space="0"/>
              <w:right w:val="single" w:color="auto" w:sz="4" w:space="0"/>
            </w:tcBorders>
            <w:vAlign w:val="center"/>
          </w:tcPr>
          <w:p w14:paraId="40D2EC91">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0.54</w:t>
            </w:r>
          </w:p>
        </w:tc>
        <w:tc>
          <w:tcPr>
            <w:tcW w:w="851" w:type="dxa"/>
            <w:tcBorders>
              <w:top w:val="single" w:color="auto" w:sz="4" w:space="0"/>
              <w:left w:val="single" w:color="auto" w:sz="4" w:space="0"/>
              <w:bottom w:val="single" w:color="auto" w:sz="4" w:space="0"/>
              <w:right w:val="single" w:color="auto" w:sz="4" w:space="0"/>
            </w:tcBorders>
            <w:vAlign w:val="center"/>
          </w:tcPr>
          <w:p w14:paraId="1CE9F592">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0.60</w:t>
            </w:r>
          </w:p>
        </w:tc>
        <w:tc>
          <w:tcPr>
            <w:tcW w:w="905" w:type="dxa"/>
            <w:tcBorders>
              <w:top w:val="single" w:color="auto" w:sz="4" w:space="0"/>
              <w:left w:val="single" w:color="auto" w:sz="4" w:space="0"/>
              <w:bottom w:val="single" w:color="auto" w:sz="4" w:space="0"/>
              <w:right w:val="single" w:color="auto" w:sz="4" w:space="0"/>
            </w:tcBorders>
            <w:vAlign w:val="center"/>
          </w:tcPr>
          <w:p w14:paraId="01617AC1">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0.39</w:t>
            </w:r>
          </w:p>
        </w:tc>
        <w:tc>
          <w:tcPr>
            <w:tcW w:w="720" w:type="dxa"/>
            <w:tcBorders>
              <w:top w:val="single" w:color="auto" w:sz="4" w:space="0"/>
              <w:left w:val="single" w:color="auto" w:sz="4" w:space="0"/>
              <w:bottom w:val="single" w:color="auto" w:sz="4" w:space="0"/>
              <w:right w:val="single" w:color="auto" w:sz="4" w:space="0"/>
            </w:tcBorders>
            <w:vAlign w:val="center"/>
          </w:tcPr>
          <w:p w14:paraId="6DF9C296">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1.30</w:t>
            </w:r>
          </w:p>
        </w:tc>
      </w:tr>
      <w:tr w14:paraId="73C0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right w:val="single" w:color="auto" w:sz="4" w:space="0"/>
            </w:tcBorders>
            <w:vAlign w:val="center"/>
          </w:tcPr>
          <w:p w14:paraId="34DA9AFD">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1140CB55">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双</w:t>
            </w:r>
            <w:r>
              <w:rPr>
                <w:rFonts w:hint="eastAsia" w:ascii="Times New Roman" w:hAnsi="Times New Roman"/>
                <w:color w:val="auto"/>
                <w:sz w:val="15"/>
                <w:szCs w:val="15"/>
              </w:rPr>
              <w:t>银Low-E＋12A＋6</w:t>
            </w:r>
            <w:r>
              <w:rPr>
                <w:rFonts w:hint="eastAsia" w:ascii="Times New Roman" w:hAnsi="Times New Roman"/>
                <w:color w:val="auto"/>
                <w:sz w:val="15"/>
                <w:szCs w:val="15"/>
                <w:lang w:val="en-US" w:eastAsia="zh-CN"/>
              </w:rPr>
              <w:t>无银Low-E</w:t>
            </w:r>
          </w:p>
        </w:tc>
        <w:tc>
          <w:tcPr>
            <w:tcW w:w="895" w:type="dxa"/>
            <w:tcBorders>
              <w:top w:val="single" w:color="auto" w:sz="4" w:space="0"/>
              <w:left w:val="single" w:color="auto" w:sz="4" w:space="0"/>
              <w:bottom w:val="single" w:color="auto" w:sz="4" w:space="0"/>
              <w:right w:val="single" w:color="auto" w:sz="4" w:space="0"/>
            </w:tcBorders>
            <w:vAlign w:val="center"/>
          </w:tcPr>
          <w:p w14:paraId="0DA034CF">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0.63</w:t>
            </w:r>
          </w:p>
        </w:tc>
        <w:tc>
          <w:tcPr>
            <w:tcW w:w="796" w:type="dxa"/>
            <w:tcBorders>
              <w:top w:val="single" w:color="auto" w:sz="4" w:space="0"/>
              <w:left w:val="single" w:color="auto" w:sz="4" w:space="0"/>
              <w:bottom w:val="single" w:color="auto" w:sz="4" w:space="0"/>
              <w:right w:val="single" w:color="auto" w:sz="4" w:space="0"/>
            </w:tcBorders>
            <w:vAlign w:val="center"/>
          </w:tcPr>
          <w:p w14:paraId="51497307">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0.15</w:t>
            </w:r>
          </w:p>
        </w:tc>
        <w:tc>
          <w:tcPr>
            <w:tcW w:w="1047" w:type="dxa"/>
            <w:tcBorders>
              <w:top w:val="single" w:color="auto" w:sz="4" w:space="0"/>
              <w:left w:val="single" w:color="auto" w:sz="4" w:space="0"/>
              <w:bottom w:val="single" w:color="auto" w:sz="4" w:space="0"/>
              <w:right w:val="single" w:color="auto" w:sz="4" w:space="0"/>
            </w:tcBorders>
            <w:vAlign w:val="center"/>
          </w:tcPr>
          <w:p w14:paraId="4832C0BF">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0.37</w:t>
            </w:r>
          </w:p>
        </w:tc>
        <w:tc>
          <w:tcPr>
            <w:tcW w:w="851" w:type="dxa"/>
            <w:tcBorders>
              <w:top w:val="single" w:color="auto" w:sz="4" w:space="0"/>
              <w:left w:val="single" w:color="auto" w:sz="4" w:space="0"/>
              <w:bottom w:val="single" w:color="auto" w:sz="4" w:space="0"/>
              <w:right w:val="single" w:color="auto" w:sz="4" w:space="0"/>
            </w:tcBorders>
            <w:vAlign w:val="center"/>
          </w:tcPr>
          <w:p w14:paraId="1A4AFBC5">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0.41</w:t>
            </w:r>
          </w:p>
        </w:tc>
        <w:tc>
          <w:tcPr>
            <w:tcW w:w="905" w:type="dxa"/>
            <w:tcBorders>
              <w:top w:val="single" w:color="auto" w:sz="4" w:space="0"/>
              <w:left w:val="single" w:color="auto" w:sz="4" w:space="0"/>
              <w:bottom w:val="single" w:color="auto" w:sz="4" w:space="0"/>
              <w:right w:val="single" w:color="auto" w:sz="4" w:space="0"/>
            </w:tcBorders>
            <w:vAlign w:val="center"/>
          </w:tcPr>
          <w:p w14:paraId="28EFED06">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0.16</w:t>
            </w:r>
          </w:p>
        </w:tc>
        <w:tc>
          <w:tcPr>
            <w:tcW w:w="720" w:type="dxa"/>
            <w:tcBorders>
              <w:top w:val="single" w:color="auto" w:sz="4" w:space="0"/>
              <w:left w:val="single" w:color="auto" w:sz="4" w:space="0"/>
              <w:bottom w:val="single" w:color="auto" w:sz="4" w:space="0"/>
              <w:right w:val="single" w:color="auto" w:sz="4" w:space="0"/>
            </w:tcBorders>
            <w:vAlign w:val="center"/>
          </w:tcPr>
          <w:p w14:paraId="077A0D47">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1.53</w:t>
            </w:r>
          </w:p>
        </w:tc>
      </w:tr>
      <w:tr w14:paraId="780D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388F6193">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2C13583">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sz w:val="15"/>
                <w:szCs w:val="15"/>
              </w:rPr>
              <w:t>6</w:t>
            </w:r>
            <w:r>
              <w:rPr>
                <w:rFonts w:hint="eastAsia" w:ascii="Times New Roman" w:hAnsi="Times New Roman"/>
                <w:color w:val="auto"/>
                <w:sz w:val="15"/>
                <w:szCs w:val="15"/>
                <w:lang w:val="en-US" w:eastAsia="zh-CN"/>
              </w:rPr>
              <w:t>三</w:t>
            </w:r>
            <w:r>
              <w:rPr>
                <w:rFonts w:hint="eastAsia" w:ascii="Times New Roman" w:hAnsi="Times New Roman"/>
                <w:color w:val="auto"/>
                <w:sz w:val="15"/>
                <w:szCs w:val="15"/>
              </w:rPr>
              <w:t>银Low-E＋12A＋6</w:t>
            </w:r>
            <w:r>
              <w:rPr>
                <w:rFonts w:hint="eastAsia" w:ascii="Times New Roman" w:hAnsi="Times New Roman"/>
                <w:color w:val="auto"/>
                <w:sz w:val="15"/>
                <w:szCs w:val="15"/>
                <w:lang w:val="en-US" w:eastAsia="zh-CN"/>
              </w:rPr>
              <w:t>无银Low-E</w:t>
            </w:r>
          </w:p>
        </w:tc>
        <w:tc>
          <w:tcPr>
            <w:tcW w:w="895" w:type="dxa"/>
            <w:tcBorders>
              <w:top w:val="single" w:color="auto" w:sz="4" w:space="0"/>
              <w:left w:val="single" w:color="auto" w:sz="4" w:space="0"/>
              <w:bottom w:val="single" w:color="auto" w:sz="4" w:space="0"/>
              <w:right w:val="single" w:color="auto" w:sz="4" w:space="0"/>
            </w:tcBorders>
            <w:vAlign w:val="center"/>
          </w:tcPr>
          <w:p w14:paraId="2A700090">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0.67</w:t>
            </w:r>
          </w:p>
        </w:tc>
        <w:tc>
          <w:tcPr>
            <w:tcW w:w="796" w:type="dxa"/>
            <w:tcBorders>
              <w:top w:val="single" w:color="auto" w:sz="4" w:space="0"/>
              <w:left w:val="single" w:color="auto" w:sz="4" w:space="0"/>
              <w:bottom w:val="single" w:color="auto" w:sz="4" w:space="0"/>
              <w:right w:val="single" w:color="auto" w:sz="4" w:space="0"/>
            </w:tcBorders>
            <w:vAlign w:val="center"/>
          </w:tcPr>
          <w:p w14:paraId="6AB43B7E">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0F89DBCA">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0.31</w:t>
            </w:r>
          </w:p>
        </w:tc>
        <w:tc>
          <w:tcPr>
            <w:tcW w:w="851" w:type="dxa"/>
            <w:tcBorders>
              <w:top w:val="single" w:color="auto" w:sz="4" w:space="0"/>
              <w:left w:val="single" w:color="auto" w:sz="4" w:space="0"/>
              <w:bottom w:val="single" w:color="auto" w:sz="4" w:space="0"/>
              <w:right w:val="single" w:color="auto" w:sz="4" w:space="0"/>
            </w:tcBorders>
            <w:vAlign w:val="center"/>
          </w:tcPr>
          <w:p w14:paraId="76E14393">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0.34</w:t>
            </w:r>
          </w:p>
        </w:tc>
        <w:tc>
          <w:tcPr>
            <w:tcW w:w="905" w:type="dxa"/>
            <w:tcBorders>
              <w:top w:val="single" w:color="auto" w:sz="4" w:space="0"/>
              <w:left w:val="single" w:color="auto" w:sz="4" w:space="0"/>
              <w:bottom w:val="single" w:color="auto" w:sz="4" w:space="0"/>
              <w:right w:val="single" w:color="auto" w:sz="4" w:space="0"/>
            </w:tcBorders>
            <w:vAlign w:val="center"/>
          </w:tcPr>
          <w:p w14:paraId="3C003785">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0.03</w:t>
            </w:r>
          </w:p>
        </w:tc>
        <w:tc>
          <w:tcPr>
            <w:tcW w:w="720" w:type="dxa"/>
            <w:tcBorders>
              <w:top w:val="single" w:color="auto" w:sz="4" w:space="0"/>
              <w:left w:val="single" w:color="auto" w:sz="4" w:space="0"/>
              <w:bottom w:val="single" w:color="auto" w:sz="4" w:space="0"/>
              <w:right w:val="single" w:color="auto" w:sz="4" w:space="0"/>
            </w:tcBorders>
            <w:vAlign w:val="center"/>
          </w:tcPr>
          <w:p w14:paraId="5B7F1E04">
            <w:pPr>
              <w:spacing w:line="240" w:lineRule="auto"/>
              <w:jc w:val="center"/>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1.97</w:t>
            </w:r>
          </w:p>
        </w:tc>
      </w:tr>
      <w:tr w14:paraId="2610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blHeader/>
          <w:jc w:val="center"/>
        </w:trPr>
        <w:tc>
          <w:tcPr>
            <w:tcW w:w="1444" w:type="dxa"/>
            <w:vMerge w:val="restart"/>
            <w:tcBorders>
              <w:top w:val="single" w:color="auto" w:sz="4" w:space="0"/>
              <w:left w:val="single" w:color="auto" w:sz="4" w:space="0"/>
              <w:right w:val="single" w:color="auto" w:sz="4" w:space="0"/>
            </w:tcBorders>
            <w:vAlign w:val="center"/>
          </w:tcPr>
          <w:p w14:paraId="507EEE13">
            <w:pPr>
              <w:jc w:val="center"/>
              <w:rPr>
                <w:rFonts w:ascii="Times New Roman" w:hAnsi="Times New Roman"/>
                <w:color w:val="auto"/>
                <w:sz w:val="15"/>
                <w:szCs w:val="15"/>
              </w:rPr>
            </w:pPr>
            <w:r>
              <w:rPr>
                <w:rFonts w:hint="eastAsia" w:ascii="Times New Roman" w:hAnsi="Times New Roman"/>
                <w:color w:val="auto"/>
                <w:sz w:val="15"/>
                <w:szCs w:val="15"/>
                <w:lang w:val="en-US" w:eastAsia="zh-CN"/>
              </w:rPr>
              <w:t>阳光控制</w:t>
            </w:r>
            <w:r>
              <w:rPr>
                <w:rFonts w:hint="eastAsia" w:ascii="Times New Roman" w:hAnsi="Times New Roman"/>
                <w:color w:val="auto"/>
                <w:sz w:val="15"/>
                <w:szCs w:val="15"/>
              </w:rPr>
              <w:t>镀膜玻璃</w:t>
            </w:r>
          </w:p>
        </w:tc>
        <w:tc>
          <w:tcPr>
            <w:tcW w:w="2538" w:type="dxa"/>
            <w:tcBorders>
              <w:top w:val="single" w:color="auto" w:sz="4" w:space="0"/>
              <w:left w:val="single" w:color="auto" w:sz="4" w:space="0"/>
              <w:bottom w:val="single" w:color="auto" w:sz="4" w:space="0"/>
              <w:right w:val="single" w:color="auto" w:sz="4" w:space="0"/>
            </w:tcBorders>
            <w:vAlign w:val="center"/>
          </w:tcPr>
          <w:p w14:paraId="6CF52A65">
            <w:pPr>
              <w:spacing w:line="240" w:lineRule="auto"/>
              <w:jc w:val="center"/>
              <w:rPr>
                <w:rFonts w:hint="eastAsia" w:ascii="Times New Roman" w:hAnsi="Times New Roman" w:eastAsia="宋体" w:cs="Times New Roman"/>
                <w:color w:val="auto"/>
                <w:kern w:val="2"/>
                <w:sz w:val="15"/>
                <w:szCs w:val="15"/>
                <w:lang w:val="en-US" w:eastAsia="zh-CN" w:bidi="ar-SA"/>
              </w:rPr>
            </w:pPr>
            <w:r>
              <w:rPr>
                <w:rFonts w:hint="eastAsia" w:ascii="Times New Roman" w:hAnsi="Times New Roman"/>
                <w:color w:val="auto"/>
                <w:kern w:val="0"/>
                <w:sz w:val="15"/>
                <w:szCs w:val="15"/>
              </w:rPr>
              <w:t>6mm</w:t>
            </w:r>
          </w:p>
        </w:tc>
        <w:tc>
          <w:tcPr>
            <w:tcW w:w="895" w:type="dxa"/>
            <w:tcBorders>
              <w:top w:val="single" w:color="auto" w:sz="4" w:space="0"/>
              <w:left w:val="single" w:color="auto" w:sz="4" w:space="0"/>
              <w:bottom w:val="single" w:color="auto" w:sz="4" w:space="0"/>
              <w:right w:val="single" w:color="auto" w:sz="4" w:space="0"/>
            </w:tcBorders>
            <w:vAlign w:val="center"/>
          </w:tcPr>
          <w:p w14:paraId="0C920F56">
            <w:pPr>
              <w:spacing w:line="240" w:lineRule="auto"/>
              <w:jc w:val="center"/>
              <w:rPr>
                <w:rFonts w:hint="eastAsia" w:ascii="Times New Roman" w:hAnsi="Times New Roman" w:eastAsia="宋体" w:cs="Times New Roman"/>
                <w:color w:val="auto"/>
                <w:kern w:val="0"/>
                <w:sz w:val="15"/>
                <w:szCs w:val="15"/>
                <w:lang w:val="en-US" w:eastAsia="zh-CN" w:bidi="ar-SA"/>
              </w:rPr>
            </w:pPr>
            <w:r>
              <w:rPr>
                <w:rFonts w:hint="eastAsia" w:ascii="Times New Roman" w:hAnsi="Times New Roman"/>
                <w:color w:val="auto"/>
                <w:kern w:val="0"/>
                <w:sz w:val="15"/>
                <w:szCs w:val="15"/>
              </w:rPr>
              <w:t>0.64</w:t>
            </w:r>
          </w:p>
        </w:tc>
        <w:tc>
          <w:tcPr>
            <w:tcW w:w="796" w:type="dxa"/>
            <w:tcBorders>
              <w:top w:val="single" w:color="auto" w:sz="4" w:space="0"/>
              <w:left w:val="single" w:color="auto" w:sz="4" w:space="0"/>
              <w:bottom w:val="single" w:color="auto" w:sz="4" w:space="0"/>
              <w:right w:val="single" w:color="auto" w:sz="4" w:space="0"/>
            </w:tcBorders>
            <w:vAlign w:val="center"/>
          </w:tcPr>
          <w:p w14:paraId="28C45D9F">
            <w:pPr>
              <w:spacing w:line="240" w:lineRule="auto"/>
              <w:jc w:val="center"/>
              <w:rPr>
                <w:rFonts w:hint="eastAsia" w:ascii="Times New Roman" w:hAnsi="Times New Roman" w:eastAsia="宋体" w:cs="Times New Roman"/>
                <w:color w:val="auto"/>
                <w:kern w:val="0"/>
                <w:sz w:val="15"/>
                <w:szCs w:val="15"/>
                <w:lang w:val="en-US" w:eastAsia="zh-CN" w:bidi="ar-SA"/>
              </w:rPr>
            </w:pPr>
            <w:r>
              <w:rPr>
                <w:rFonts w:hint="eastAsia" w:ascii="Times New Roman" w:hAnsi="Times New Roman"/>
                <w:color w:val="auto"/>
                <w:kern w:val="0"/>
                <w:sz w:val="15"/>
                <w:szCs w:val="15"/>
              </w:rPr>
              <w:t>0.18</w:t>
            </w:r>
          </w:p>
        </w:tc>
        <w:tc>
          <w:tcPr>
            <w:tcW w:w="1047" w:type="dxa"/>
            <w:tcBorders>
              <w:top w:val="single" w:color="auto" w:sz="4" w:space="0"/>
              <w:left w:val="single" w:color="auto" w:sz="4" w:space="0"/>
              <w:bottom w:val="single" w:color="auto" w:sz="4" w:space="0"/>
              <w:right w:val="single" w:color="auto" w:sz="4" w:space="0"/>
            </w:tcBorders>
            <w:vAlign w:val="center"/>
          </w:tcPr>
          <w:p w14:paraId="42076EC1">
            <w:pPr>
              <w:spacing w:line="240" w:lineRule="auto"/>
              <w:jc w:val="center"/>
              <w:rPr>
                <w:rFonts w:hint="eastAsia" w:ascii="Times New Roman" w:hAnsi="Times New Roman" w:eastAsia="宋体" w:cs="Times New Roman"/>
                <w:color w:val="auto"/>
                <w:kern w:val="0"/>
                <w:sz w:val="15"/>
                <w:szCs w:val="15"/>
                <w:lang w:val="en-US" w:eastAsia="zh-CN" w:bidi="ar-SA"/>
              </w:rPr>
            </w:pPr>
            <w:r>
              <w:rPr>
                <w:rFonts w:hint="eastAsia" w:ascii="Times New Roman" w:hAnsi="Times New Roman"/>
                <w:color w:val="auto"/>
                <w:kern w:val="0"/>
                <w:sz w:val="15"/>
                <w:szCs w:val="15"/>
              </w:rPr>
              <w:t>0.59</w:t>
            </w:r>
          </w:p>
        </w:tc>
        <w:tc>
          <w:tcPr>
            <w:tcW w:w="851" w:type="dxa"/>
            <w:tcBorders>
              <w:top w:val="single" w:color="auto" w:sz="4" w:space="0"/>
              <w:left w:val="single" w:color="auto" w:sz="4" w:space="0"/>
              <w:bottom w:val="single" w:color="auto" w:sz="4" w:space="0"/>
              <w:right w:val="single" w:color="auto" w:sz="4" w:space="0"/>
            </w:tcBorders>
            <w:vAlign w:val="center"/>
          </w:tcPr>
          <w:p w14:paraId="717AF589">
            <w:pPr>
              <w:spacing w:line="240" w:lineRule="auto"/>
              <w:jc w:val="center"/>
              <w:rPr>
                <w:rFonts w:hint="eastAsia" w:ascii="Times New Roman" w:hAnsi="Times New Roman" w:eastAsia="宋体" w:cs="Times New Roman"/>
                <w:color w:val="auto"/>
                <w:kern w:val="0"/>
                <w:sz w:val="15"/>
                <w:szCs w:val="15"/>
                <w:lang w:val="en-US" w:eastAsia="zh-CN" w:bidi="ar-SA"/>
              </w:rPr>
            </w:pPr>
            <w:r>
              <w:rPr>
                <w:rFonts w:hint="eastAsia" w:ascii="Times New Roman" w:hAnsi="Times New Roman"/>
                <w:color w:val="auto"/>
                <w:sz w:val="15"/>
                <w:szCs w:val="15"/>
              </w:rPr>
              <w:t>0.66</w:t>
            </w:r>
          </w:p>
        </w:tc>
        <w:tc>
          <w:tcPr>
            <w:tcW w:w="905" w:type="dxa"/>
            <w:tcBorders>
              <w:top w:val="single" w:color="auto" w:sz="4" w:space="0"/>
              <w:left w:val="single" w:color="auto" w:sz="4" w:space="0"/>
              <w:bottom w:val="single" w:color="auto" w:sz="4" w:space="0"/>
              <w:right w:val="single" w:color="auto" w:sz="4" w:space="0"/>
            </w:tcBorders>
            <w:vAlign w:val="center"/>
          </w:tcPr>
          <w:p w14:paraId="2F7793AC">
            <w:pPr>
              <w:spacing w:line="240" w:lineRule="auto"/>
              <w:jc w:val="center"/>
              <w:rPr>
                <w:rFonts w:hint="default" w:ascii="Times New Roman" w:hAnsi="Times New Roman" w:eastAsia="宋体" w:cs="Times New Roman"/>
                <w:color w:val="auto"/>
                <w:kern w:val="0"/>
                <w:sz w:val="15"/>
                <w:szCs w:val="15"/>
                <w:highlight w:val="yellow"/>
                <w:lang w:val="en-US" w:eastAsia="zh-CN" w:bidi="ar-SA"/>
              </w:rPr>
            </w:pPr>
            <w:r>
              <w:rPr>
                <w:rFonts w:hint="eastAsia" w:ascii="Times New Roman" w:hAnsi="Times New Roman"/>
                <w:color w:val="auto"/>
                <w:kern w:val="0"/>
                <w:sz w:val="15"/>
                <w:szCs w:val="15"/>
                <w:highlight w:val="none"/>
                <w:lang w:val="en-US" w:eastAsia="zh-CN"/>
              </w:rPr>
              <w:t>0.62</w:t>
            </w:r>
          </w:p>
        </w:tc>
        <w:tc>
          <w:tcPr>
            <w:tcW w:w="720" w:type="dxa"/>
            <w:tcBorders>
              <w:top w:val="single" w:color="auto" w:sz="4" w:space="0"/>
              <w:left w:val="single" w:color="auto" w:sz="4" w:space="0"/>
              <w:bottom w:val="single" w:color="auto" w:sz="4" w:space="0"/>
              <w:right w:val="single" w:color="auto" w:sz="4" w:space="0"/>
            </w:tcBorders>
            <w:vAlign w:val="center"/>
          </w:tcPr>
          <w:p w14:paraId="1E60A62A">
            <w:pPr>
              <w:spacing w:line="240" w:lineRule="auto"/>
              <w:jc w:val="center"/>
              <w:rPr>
                <w:rFonts w:hint="eastAsia" w:ascii="Times New Roman" w:hAnsi="Times New Roman" w:eastAsia="宋体" w:cs="Times New Roman"/>
                <w:color w:val="auto"/>
                <w:kern w:val="0"/>
                <w:sz w:val="15"/>
                <w:szCs w:val="15"/>
                <w:lang w:val="en-US" w:eastAsia="zh-CN" w:bidi="ar-SA"/>
              </w:rPr>
            </w:pPr>
            <w:r>
              <w:rPr>
                <w:rFonts w:hint="eastAsia" w:ascii="Times New Roman" w:hAnsi="Times New Roman"/>
                <w:color w:val="auto"/>
                <w:sz w:val="15"/>
                <w:szCs w:val="15"/>
              </w:rPr>
              <w:t>0.97</w:t>
            </w:r>
          </w:p>
        </w:tc>
      </w:tr>
      <w:tr w14:paraId="78A0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58E0841A">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59305F73">
            <w:pPr>
              <w:spacing w:line="240" w:lineRule="auto"/>
              <w:jc w:val="center"/>
              <w:rPr>
                <w:rFonts w:ascii="Times New Roman" w:hAnsi="Times New Roman"/>
                <w:color w:val="auto"/>
                <w:kern w:val="0"/>
                <w:sz w:val="15"/>
                <w:szCs w:val="15"/>
              </w:rPr>
            </w:pPr>
            <w:r>
              <w:rPr>
                <w:rFonts w:hint="eastAsia" w:ascii="Times New Roman" w:hAnsi="Times New Roman"/>
                <w:color w:val="auto"/>
                <w:kern w:val="0"/>
                <w:sz w:val="15"/>
                <w:szCs w:val="15"/>
              </w:rPr>
              <w:t>6mm</w:t>
            </w:r>
          </w:p>
        </w:tc>
        <w:tc>
          <w:tcPr>
            <w:tcW w:w="895" w:type="dxa"/>
            <w:tcBorders>
              <w:top w:val="single" w:color="auto" w:sz="4" w:space="0"/>
              <w:left w:val="single" w:color="auto" w:sz="4" w:space="0"/>
              <w:bottom w:val="single" w:color="auto" w:sz="4" w:space="0"/>
              <w:right w:val="single" w:color="auto" w:sz="4" w:space="0"/>
            </w:tcBorders>
            <w:vAlign w:val="center"/>
          </w:tcPr>
          <w:p w14:paraId="3011ACF3">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0.60</w:t>
            </w:r>
          </w:p>
        </w:tc>
        <w:tc>
          <w:tcPr>
            <w:tcW w:w="796" w:type="dxa"/>
            <w:tcBorders>
              <w:top w:val="single" w:color="auto" w:sz="4" w:space="0"/>
              <w:left w:val="single" w:color="auto" w:sz="4" w:space="0"/>
              <w:bottom w:val="single" w:color="auto" w:sz="4" w:space="0"/>
              <w:right w:val="single" w:color="auto" w:sz="4" w:space="0"/>
            </w:tcBorders>
            <w:vAlign w:val="center"/>
          </w:tcPr>
          <w:p w14:paraId="160959DA">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0.14</w:t>
            </w:r>
          </w:p>
        </w:tc>
        <w:tc>
          <w:tcPr>
            <w:tcW w:w="1047" w:type="dxa"/>
            <w:tcBorders>
              <w:top w:val="single" w:color="auto" w:sz="4" w:space="0"/>
              <w:left w:val="single" w:color="auto" w:sz="4" w:space="0"/>
              <w:bottom w:val="single" w:color="auto" w:sz="4" w:space="0"/>
              <w:right w:val="single" w:color="auto" w:sz="4" w:space="0"/>
            </w:tcBorders>
            <w:vAlign w:val="center"/>
          </w:tcPr>
          <w:p w14:paraId="45496137">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0.53</w:t>
            </w:r>
          </w:p>
        </w:tc>
        <w:tc>
          <w:tcPr>
            <w:tcW w:w="851" w:type="dxa"/>
            <w:tcBorders>
              <w:top w:val="single" w:color="auto" w:sz="4" w:space="0"/>
              <w:left w:val="single" w:color="auto" w:sz="4" w:space="0"/>
              <w:bottom w:val="single" w:color="auto" w:sz="4" w:space="0"/>
              <w:right w:val="single" w:color="auto" w:sz="4" w:space="0"/>
            </w:tcBorders>
            <w:vAlign w:val="center"/>
          </w:tcPr>
          <w:p w14:paraId="50EDF34B">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0.64</w:t>
            </w:r>
          </w:p>
        </w:tc>
        <w:tc>
          <w:tcPr>
            <w:tcW w:w="905" w:type="dxa"/>
            <w:tcBorders>
              <w:top w:val="single" w:color="auto" w:sz="4" w:space="0"/>
              <w:left w:val="single" w:color="auto" w:sz="4" w:space="0"/>
              <w:bottom w:val="single" w:color="auto" w:sz="4" w:space="0"/>
              <w:right w:val="single" w:color="auto" w:sz="4" w:space="0"/>
            </w:tcBorders>
            <w:vAlign w:val="center"/>
          </w:tcPr>
          <w:p w14:paraId="39F6E968">
            <w:pPr>
              <w:spacing w:line="240" w:lineRule="auto"/>
              <w:jc w:val="center"/>
              <w:rPr>
                <w:rFonts w:hint="default" w:ascii="Times New Roman" w:hAnsi="Times New Roman" w:eastAsia="宋体"/>
                <w:color w:val="auto"/>
                <w:kern w:val="0"/>
                <w:sz w:val="15"/>
                <w:szCs w:val="15"/>
                <w:highlight w:val="yellow"/>
                <w:lang w:val="en-US" w:eastAsia="zh-CN"/>
              </w:rPr>
            </w:pPr>
            <w:r>
              <w:rPr>
                <w:rFonts w:hint="eastAsia" w:ascii="Times New Roman" w:hAnsi="Times New Roman"/>
                <w:color w:val="auto"/>
                <w:kern w:val="0"/>
                <w:sz w:val="15"/>
                <w:szCs w:val="15"/>
                <w:highlight w:val="none"/>
                <w:lang w:val="en-US" w:eastAsia="zh-CN"/>
              </w:rPr>
              <w:t>0.61</w:t>
            </w:r>
          </w:p>
        </w:tc>
        <w:tc>
          <w:tcPr>
            <w:tcW w:w="720" w:type="dxa"/>
            <w:tcBorders>
              <w:top w:val="single" w:color="auto" w:sz="4" w:space="0"/>
              <w:left w:val="single" w:color="auto" w:sz="4" w:space="0"/>
              <w:bottom w:val="single" w:color="auto" w:sz="4" w:space="0"/>
              <w:right w:val="single" w:color="auto" w:sz="4" w:space="0"/>
            </w:tcBorders>
            <w:vAlign w:val="center"/>
          </w:tcPr>
          <w:p w14:paraId="41485A45">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0.93</w:t>
            </w:r>
          </w:p>
        </w:tc>
      </w:tr>
      <w:tr w14:paraId="3928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blHeader/>
          <w:jc w:val="center"/>
        </w:trPr>
        <w:tc>
          <w:tcPr>
            <w:tcW w:w="1444" w:type="dxa"/>
            <w:vMerge w:val="continue"/>
            <w:tcBorders>
              <w:left w:val="single" w:color="auto" w:sz="4" w:space="0"/>
              <w:bottom w:val="single" w:color="auto" w:sz="4" w:space="0"/>
              <w:right w:val="single" w:color="auto" w:sz="4" w:space="0"/>
            </w:tcBorders>
            <w:vAlign w:val="center"/>
          </w:tcPr>
          <w:p w14:paraId="2672F538">
            <w:pPr>
              <w:jc w:val="center"/>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7D447BBD">
            <w:pPr>
              <w:spacing w:line="240" w:lineRule="auto"/>
              <w:jc w:val="center"/>
              <w:rPr>
                <w:rFonts w:ascii="Times New Roman" w:hAnsi="Times New Roman"/>
                <w:color w:val="auto"/>
                <w:kern w:val="0"/>
                <w:sz w:val="15"/>
                <w:szCs w:val="15"/>
              </w:rPr>
            </w:pPr>
            <w:r>
              <w:rPr>
                <w:rFonts w:hint="eastAsia" w:ascii="Times New Roman" w:hAnsi="Times New Roman"/>
                <w:color w:val="auto"/>
                <w:kern w:val="0"/>
                <w:sz w:val="15"/>
                <w:szCs w:val="15"/>
                <w:lang w:val="en-US" w:eastAsia="zh-CN"/>
              </w:rPr>
              <w:t>6mm</w:t>
            </w:r>
          </w:p>
        </w:tc>
        <w:tc>
          <w:tcPr>
            <w:tcW w:w="895" w:type="dxa"/>
            <w:tcBorders>
              <w:top w:val="single" w:color="auto" w:sz="4" w:space="0"/>
              <w:left w:val="single" w:color="auto" w:sz="4" w:space="0"/>
              <w:bottom w:val="single" w:color="auto" w:sz="4" w:space="0"/>
              <w:right w:val="single" w:color="auto" w:sz="4" w:space="0"/>
            </w:tcBorders>
            <w:vAlign w:val="center"/>
          </w:tcPr>
          <w:p w14:paraId="3FB67783">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0.41</w:t>
            </w:r>
          </w:p>
        </w:tc>
        <w:tc>
          <w:tcPr>
            <w:tcW w:w="796" w:type="dxa"/>
            <w:tcBorders>
              <w:top w:val="single" w:color="auto" w:sz="4" w:space="0"/>
              <w:left w:val="single" w:color="auto" w:sz="4" w:space="0"/>
              <w:bottom w:val="single" w:color="auto" w:sz="4" w:space="0"/>
              <w:right w:val="single" w:color="auto" w:sz="4" w:space="0"/>
            </w:tcBorders>
            <w:vAlign w:val="center"/>
          </w:tcPr>
          <w:p w14:paraId="1B33C323">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0.30</w:t>
            </w:r>
          </w:p>
        </w:tc>
        <w:tc>
          <w:tcPr>
            <w:tcW w:w="1047" w:type="dxa"/>
            <w:tcBorders>
              <w:top w:val="single" w:color="auto" w:sz="4" w:space="0"/>
              <w:left w:val="single" w:color="auto" w:sz="4" w:space="0"/>
              <w:bottom w:val="single" w:color="auto" w:sz="4" w:space="0"/>
              <w:right w:val="single" w:color="auto" w:sz="4" w:space="0"/>
            </w:tcBorders>
            <w:vAlign w:val="center"/>
          </w:tcPr>
          <w:p w14:paraId="3E824008">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0.40</w:t>
            </w:r>
          </w:p>
        </w:tc>
        <w:tc>
          <w:tcPr>
            <w:tcW w:w="851" w:type="dxa"/>
            <w:tcBorders>
              <w:top w:val="single" w:color="auto" w:sz="4" w:space="0"/>
              <w:left w:val="single" w:color="auto" w:sz="4" w:space="0"/>
              <w:bottom w:val="single" w:color="auto" w:sz="4" w:space="0"/>
              <w:right w:val="single" w:color="auto" w:sz="4" w:space="0"/>
            </w:tcBorders>
            <w:vAlign w:val="center"/>
          </w:tcPr>
          <w:p w14:paraId="14C6DA0F">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0.50</w:t>
            </w:r>
          </w:p>
        </w:tc>
        <w:tc>
          <w:tcPr>
            <w:tcW w:w="905" w:type="dxa"/>
            <w:tcBorders>
              <w:top w:val="single" w:color="auto" w:sz="4" w:space="0"/>
              <w:left w:val="single" w:color="auto" w:sz="4" w:space="0"/>
              <w:bottom w:val="single" w:color="auto" w:sz="4" w:space="0"/>
              <w:right w:val="single" w:color="auto" w:sz="4" w:space="0"/>
            </w:tcBorders>
            <w:vAlign w:val="center"/>
          </w:tcPr>
          <w:p w14:paraId="0F1340E3">
            <w:pPr>
              <w:spacing w:line="240" w:lineRule="auto"/>
              <w:jc w:val="center"/>
              <w:rPr>
                <w:rFonts w:hint="default" w:ascii="Times New Roman" w:hAnsi="Times New Roman" w:eastAsia="宋体"/>
                <w:color w:val="auto"/>
                <w:kern w:val="0"/>
                <w:sz w:val="15"/>
                <w:szCs w:val="15"/>
                <w:highlight w:val="yellow"/>
                <w:lang w:val="en-US" w:eastAsia="zh-CN"/>
              </w:rPr>
            </w:pPr>
            <w:r>
              <w:rPr>
                <w:rFonts w:hint="eastAsia" w:ascii="Times New Roman" w:hAnsi="Times New Roman"/>
                <w:color w:val="auto"/>
                <w:kern w:val="0"/>
                <w:sz w:val="15"/>
                <w:szCs w:val="15"/>
                <w:highlight w:val="none"/>
                <w:lang w:val="en-US" w:eastAsia="zh-CN"/>
              </w:rPr>
              <w:t>0.53</w:t>
            </w:r>
          </w:p>
        </w:tc>
        <w:tc>
          <w:tcPr>
            <w:tcW w:w="720" w:type="dxa"/>
            <w:tcBorders>
              <w:top w:val="single" w:color="auto" w:sz="4" w:space="0"/>
              <w:left w:val="single" w:color="auto" w:sz="4" w:space="0"/>
              <w:bottom w:val="single" w:color="auto" w:sz="4" w:space="0"/>
              <w:right w:val="single" w:color="auto" w:sz="4" w:space="0"/>
            </w:tcBorders>
            <w:vAlign w:val="center"/>
          </w:tcPr>
          <w:p w14:paraId="0947727A">
            <w:pPr>
              <w:spacing w:line="240" w:lineRule="auto"/>
              <w:jc w:val="center"/>
              <w:rPr>
                <w:rFonts w:hint="default" w:ascii="Times New Roman" w:hAnsi="Times New Roman" w:eastAsia="宋体"/>
                <w:color w:val="auto"/>
                <w:kern w:val="0"/>
                <w:sz w:val="15"/>
                <w:szCs w:val="15"/>
                <w:lang w:val="en-US" w:eastAsia="zh-CN"/>
              </w:rPr>
            </w:pPr>
            <w:r>
              <w:rPr>
                <w:rFonts w:hint="eastAsia" w:ascii="Times New Roman" w:hAnsi="Times New Roman"/>
                <w:color w:val="auto"/>
                <w:kern w:val="0"/>
                <w:sz w:val="15"/>
                <w:szCs w:val="15"/>
                <w:lang w:val="en-US" w:eastAsia="zh-CN"/>
              </w:rPr>
              <w:t>0.82</w:t>
            </w:r>
          </w:p>
        </w:tc>
      </w:tr>
      <w:tr w14:paraId="26CD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restart"/>
            <w:tcBorders>
              <w:top w:val="single" w:color="auto" w:sz="4" w:space="0"/>
              <w:left w:val="single" w:color="auto" w:sz="4" w:space="0"/>
              <w:right w:val="single" w:color="auto" w:sz="4" w:space="0"/>
            </w:tcBorders>
            <w:vAlign w:val="center"/>
          </w:tcPr>
          <w:p w14:paraId="6E67B242">
            <w:pPr>
              <w:jc w:val="left"/>
              <w:rPr>
                <w:rFonts w:ascii="Times New Roman" w:hAnsi="Times New Roman"/>
                <w:color w:val="auto"/>
                <w:sz w:val="15"/>
                <w:szCs w:val="15"/>
              </w:rPr>
            </w:pPr>
            <w:r>
              <w:rPr>
                <w:rFonts w:hint="eastAsia" w:ascii="Times New Roman" w:hAnsi="Times New Roman"/>
                <w:color w:val="auto"/>
                <w:sz w:val="15"/>
                <w:szCs w:val="15"/>
                <w:lang w:val="en-US" w:eastAsia="zh-CN"/>
              </w:rPr>
              <w:t>在线Low-E镀膜玻璃</w:t>
            </w:r>
          </w:p>
        </w:tc>
        <w:tc>
          <w:tcPr>
            <w:tcW w:w="2538" w:type="dxa"/>
            <w:tcBorders>
              <w:top w:val="single" w:color="auto" w:sz="4" w:space="0"/>
              <w:left w:val="single" w:color="auto" w:sz="4" w:space="0"/>
              <w:bottom w:val="single" w:color="auto" w:sz="4" w:space="0"/>
              <w:right w:val="single" w:color="auto" w:sz="4" w:space="0"/>
            </w:tcBorders>
            <w:vAlign w:val="center"/>
          </w:tcPr>
          <w:p w14:paraId="5FC510F5">
            <w:pPr>
              <w:spacing w:line="240" w:lineRule="auto"/>
              <w:jc w:val="center"/>
              <w:rPr>
                <w:rFonts w:hint="eastAsia" w:ascii="Times New Roman" w:hAnsi="Times New Roman"/>
                <w:color w:val="auto"/>
                <w:kern w:val="0"/>
                <w:sz w:val="15"/>
                <w:szCs w:val="15"/>
              </w:rPr>
            </w:pPr>
            <w:r>
              <w:rPr>
                <w:rFonts w:hint="eastAsia" w:ascii="Times New Roman" w:hAnsi="Times New Roman"/>
                <w:color w:val="auto"/>
                <w:kern w:val="0"/>
                <w:sz w:val="15"/>
                <w:szCs w:val="15"/>
                <w:lang w:val="en-US" w:eastAsia="zh-CN"/>
              </w:rPr>
              <w:t>5</w:t>
            </w:r>
            <w:r>
              <w:rPr>
                <w:rFonts w:hint="eastAsia" w:ascii="Times New Roman" w:hAnsi="Times New Roman"/>
                <w:color w:val="auto"/>
                <w:kern w:val="0"/>
                <w:sz w:val="15"/>
                <w:szCs w:val="15"/>
              </w:rPr>
              <w:t>mm</w:t>
            </w:r>
          </w:p>
        </w:tc>
        <w:tc>
          <w:tcPr>
            <w:tcW w:w="895" w:type="dxa"/>
            <w:tcBorders>
              <w:top w:val="single" w:color="auto" w:sz="4" w:space="0"/>
              <w:left w:val="single" w:color="auto" w:sz="4" w:space="0"/>
              <w:bottom w:val="single" w:color="auto" w:sz="4" w:space="0"/>
              <w:right w:val="single" w:color="auto" w:sz="4" w:space="0"/>
            </w:tcBorders>
            <w:vAlign w:val="center"/>
          </w:tcPr>
          <w:p w14:paraId="3F0FFA51">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0.83</w:t>
            </w:r>
          </w:p>
        </w:tc>
        <w:tc>
          <w:tcPr>
            <w:tcW w:w="796" w:type="dxa"/>
            <w:tcBorders>
              <w:top w:val="single" w:color="auto" w:sz="4" w:space="0"/>
              <w:left w:val="single" w:color="auto" w:sz="4" w:space="0"/>
              <w:bottom w:val="single" w:color="auto" w:sz="4" w:space="0"/>
              <w:right w:val="single" w:color="auto" w:sz="4" w:space="0"/>
            </w:tcBorders>
            <w:vAlign w:val="center"/>
          </w:tcPr>
          <w:p w14:paraId="31F234F0">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0.11</w:t>
            </w:r>
          </w:p>
        </w:tc>
        <w:tc>
          <w:tcPr>
            <w:tcW w:w="1047" w:type="dxa"/>
            <w:tcBorders>
              <w:top w:val="single" w:color="auto" w:sz="4" w:space="0"/>
              <w:left w:val="single" w:color="auto" w:sz="4" w:space="0"/>
              <w:bottom w:val="single" w:color="auto" w:sz="4" w:space="0"/>
              <w:right w:val="single" w:color="auto" w:sz="4" w:space="0"/>
            </w:tcBorders>
            <w:vAlign w:val="center"/>
          </w:tcPr>
          <w:p w14:paraId="260F9673">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0.68</w:t>
            </w:r>
          </w:p>
        </w:tc>
        <w:tc>
          <w:tcPr>
            <w:tcW w:w="851" w:type="dxa"/>
            <w:tcBorders>
              <w:top w:val="single" w:color="auto" w:sz="4" w:space="0"/>
              <w:left w:val="single" w:color="auto" w:sz="4" w:space="0"/>
              <w:bottom w:val="single" w:color="auto" w:sz="4" w:space="0"/>
              <w:right w:val="single" w:color="auto" w:sz="4" w:space="0"/>
            </w:tcBorders>
            <w:vAlign w:val="center"/>
          </w:tcPr>
          <w:p w14:paraId="69F5DEAF">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0.71</w:t>
            </w:r>
          </w:p>
        </w:tc>
        <w:tc>
          <w:tcPr>
            <w:tcW w:w="905" w:type="dxa"/>
            <w:tcBorders>
              <w:top w:val="single" w:color="auto" w:sz="4" w:space="0"/>
              <w:left w:val="single" w:color="auto" w:sz="4" w:space="0"/>
              <w:bottom w:val="single" w:color="auto" w:sz="4" w:space="0"/>
              <w:right w:val="single" w:color="auto" w:sz="4" w:space="0"/>
            </w:tcBorders>
            <w:vAlign w:val="center"/>
          </w:tcPr>
          <w:p w14:paraId="16C5A59A">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0.82</w:t>
            </w:r>
          </w:p>
        </w:tc>
        <w:tc>
          <w:tcPr>
            <w:tcW w:w="720" w:type="dxa"/>
            <w:tcBorders>
              <w:top w:val="single" w:color="auto" w:sz="4" w:space="0"/>
              <w:left w:val="single" w:color="auto" w:sz="4" w:space="0"/>
              <w:bottom w:val="single" w:color="auto" w:sz="4" w:space="0"/>
              <w:right w:val="single" w:color="auto" w:sz="4" w:space="0"/>
            </w:tcBorders>
            <w:vAlign w:val="center"/>
          </w:tcPr>
          <w:p w14:paraId="516EAFF9">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1.17 </w:t>
            </w:r>
          </w:p>
        </w:tc>
      </w:tr>
      <w:tr w14:paraId="668C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04FE9CF5">
            <w:pPr>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6409B4B2">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6mm</w:t>
            </w:r>
          </w:p>
        </w:tc>
        <w:tc>
          <w:tcPr>
            <w:tcW w:w="895" w:type="dxa"/>
            <w:tcBorders>
              <w:top w:val="single" w:color="auto" w:sz="4" w:space="0"/>
              <w:left w:val="single" w:color="auto" w:sz="4" w:space="0"/>
              <w:bottom w:val="single" w:color="auto" w:sz="4" w:space="0"/>
              <w:right w:val="single" w:color="auto" w:sz="4" w:space="0"/>
            </w:tcBorders>
            <w:vAlign w:val="center"/>
          </w:tcPr>
          <w:p w14:paraId="21B3C9F7">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0.82</w:t>
            </w:r>
          </w:p>
        </w:tc>
        <w:tc>
          <w:tcPr>
            <w:tcW w:w="796" w:type="dxa"/>
            <w:tcBorders>
              <w:top w:val="single" w:color="auto" w:sz="4" w:space="0"/>
              <w:left w:val="single" w:color="auto" w:sz="4" w:space="0"/>
              <w:bottom w:val="single" w:color="auto" w:sz="4" w:space="0"/>
              <w:right w:val="single" w:color="auto" w:sz="4" w:space="0"/>
            </w:tcBorders>
            <w:vAlign w:val="center"/>
          </w:tcPr>
          <w:p w14:paraId="0EBD872F">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0.10 </w:t>
            </w:r>
          </w:p>
        </w:tc>
        <w:tc>
          <w:tcPr>
            <w:tcW w:w="1047" w:type="dxa"/>
            <w:tcBorders>
              <w:top w:val="single" w:color="auto" w:sz="4" w:space="0"/>
              <w:left w:val="single" w:color="auto" w:sz="4" w:space="0"/>
              <w:bottom w:val="single" w:color="auto" w:sz="4" w:space="0"/>
              <w:right w:val="single" w:color="auto" w:sz="4" w:space="0"/>
            </w:tcBorders>
            <w:vAlign w:val="center"/>
          </w:tcPr>
          <w:p w14:paraId="0FCB6DF4">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0.66</w:t>
            </w:r>
          </w:p>
        </w:tc>
        <w:tc>
          <w:tcPr>
            <w:tcW w:w="851" w:type="dxa"/>
            <w:tcBorders>
              <w:top w:val="single" w:color="auto" w:sz="4" w:space="0"/>
              <w:left w:val="single" w:color="auto" w:sz="4" w:space="0"/>
              <w:bottom w:val="single" w:color="auto" w:sz="4" w:space="0"/>
              <w:right w:val="single" w:color="auto" w:sz="4" w:space="0"/>
            </w:tcBorders>
            <w:vAlign w:val="center"/>
          </w:tcPr>
          <w:p w14:paraId="5693BD7D">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0.70 </w:t>
            </w:r>
          </w:p>
        </w:tc>
        <w:tc>
          <w:tcPr>
            <w:tcW w:w="905" w:type="dxa"/>
            <w:tcBorders>
              <w:top w:val="single" w:color="auto" w:sz="4" w:space="0"/>
              <w:left w:val="single" w:color="auto" w:sz="4" w:space="0"/>
              <w:bottom w:val="single" w:color="auto" w:sz="4" w:space="0"/>
              <w:right w:val="single" w:color="auto" w:sz="4" w:space="0"/>
            </w:tcBorders>
            <w:vAlign w:val="center"/>
          </w:tcPr>
          <w:p w14:paraId="065202FE">
            <w:pPr>
              <w:spacing w:line="240" w:lineRule="auto"/>
              <w:jc w:val="center"/>
              <w:rPr>
                <w:rFonts w:hint="default" w:ascii="Times New Roman" w:hAnsi="Times New Roman"/>
                <w:color w:val="auto"/>
                <w:kern w:val="0"/>
                <w:sz w:val="15"/>
                <w:szCs w:val="15"/>
                <w:lang w:val="en-US" w:eastAsia="zh-CN"/>
              </w:rPr>
            </w:pPr>
            <w:r>
              <w:rPr>
                <w:rFonts w:hint="eastAsia" w:ascii="Times New Roman" w:hAnsi="Times New Roman"/>
                <w:color w:val="auto"/>
                <w:kern w:val="0"/>
                <w:sz w:val="15"/>
                <w:szCs w:val="15"/>
              </w:rPr>
              <w:t>0.81</w:t>
            </w:r>
          </w:p>
        </w:tc>
        <w:tc>
          <w:tcPr>
            <w:tcW w:w="720" w:type="dxa"/>
            <w:tcBorders>
              <w:top w:val="single" w:color="auto" w:sz="4" w:space="0"/>
              <w:left w:val="single" w:color="auto" w:sz="4" w:space="0"/>
              <w:bottom w:val="single" w:color="auto" w:sz="4" w:space="0"/>
              <w:right w:val="single" w:color="auto" w:sz="4" w:space="0"/>
            </w:tcBorders>
            <w:vAlign w:val="center"/>
          </w:tcPr>
          <w:p w14:paraId="7ED5112E">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1.17 </w:t>
            </w:r>
          </w:p>
        </w:tc>
      </w:tr>
      <w:tr w14:paraId="612B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650C2D34">
            <w:pPr>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6F316F3D">
            <w:pPr>
              <w:spacing w:line="240" w:lineRule="auto"/>
              <w:jc w:val="center"/>
              <w:rPr>
                <w:rFonts w:hint="eastAsia" w:ascii="Times New Roman" w:hAnsi="Times New Roman"/>
                <w:color w:val="auto"/>
                <w:kern w:val="0"/>
                <w:sz w:val="15"/>
                <w:szCs w:val="15"/>
              </w:rPr>
            </w:pPr>
            <w:r>
              <w:rPr>
                <w:rFonts w:hint="eastAsia" w:ascii="Times New Roman" w:hAnsi="Times New Roman"/>
                <w:color w:val="auto"/>
                <w:kern w:val="0"/>
                <w:sz w:val="15"/>
                <w:szCs w:val="15"/>
              </w:rPr>
              <w:t>8mm</w:t>
            </w:r>
          </w:p>
        </w:tc>
        <w:tc>
          <w:tcPr>
            <w:tcW w:w="895" w:type="dxa"/>
            <w:tcBorders>
              <w:top w:val="single" w:color="auto" w:sz="4" w:space="0"/>
              <w:left w:val="single" w:color="auto" w:sz="4" w:space="0"/>
              <w:bottom w:val="single" w:color="auto" w:sz="4" w:space="0"/>
              <w:right w:val="single" w:color="auto" w:sz="4" w:space="0"/>
            </w:tcBorders>
            <w:vAlign w:val="center"/>
          </w:tcPr>
          <w:p w14:paraId="3B8F6BEA">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0.81</w:t>
            </w:r>
          </w:p>
        </w:tc>
        <w:tc>
          <w:tcPr>
            <w:tcW w:w="796" w:type="dxa"/>
            <w:tcBorders>
              <w:top w:val="single" w:color="auto" w:sz="4" w:space="0"/>
              <w:left w:val="single" w:color="auto" w:sz="4" w:space="0"/>
              <w:bottom w:val="single" w:color="auto" w:sz="4" w:space="0"/>
              <w:right w:val="single" w:color="auto" w:sz="4" w:space="0"/>
            </w:tcBorders>
            <w:vAlign w:val="center"/>
          </w:tcPr>
          <w:p w14:paraId="55E1B184">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0.10 </w:t>
            </w:r>
          </w:p>
        </w:tc>
        <w:tc>
          <w:tcPr>
            <w:tcW w:w="1047" w:type="dxa"/>
            <w:tcBorders>
              <w:top w:val="single" w:color="auto" w:sz="4" w:space="0"/>
              <w:left w:val="single" w:color="auto" w:sz="4" w:space="0"/>
              <w:bottom w:val="single" w:color="auto" w:sz="4" w:space="0"/>
              <w:right w:val="single" w:color="auto" w:sz="4" w:space="0"/>
            </w:tcBorders>
            <w:vAlign w:val="center"/>
          </w:tcPr>
          <w:p w14:paraId="777BA709">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0.62</w:t>
            </w:r>
          </w:p>
        </w:tc>
        <w:tc>
          <w:tcPr>
            <w:tcW w:w="851" w:type="dxa"/>
            <w:tcBorders>
              <w:top w:val="single" w:color="auto" w:sz="4" w:space="0"/>
              <w:left w:val="single" w:color="auto" w:sz="4" w:space="0"/>
              <w:bottom w:val="single" w:color="auto" w:sz="4" w:space="0"/>
              <w:right w:val="single" w:color="auto" w:sz="4" w:space="0"/>
            </w:tcBorders>
            <w:vAlign w:val="center"/>
          </w:tcPr>
          <w:p w14:paraId="1D73BCB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0.67</w:t>
            </w:r>
          </w:p>
        </w:tc>
        <w:tc>
          <w:tcPr>
            <w:tcW w:w="905" w:type="dxa"/>
            <w:tcBorders>
              <w:top w:val="single" w:color="auto" w:sz="4" w:space="0"/>
              <w:left w:val="single" w:color="auto" w:sz="4" w:space="0"/>
              <w:bottom w:val="single" w:color="auto" w:sz="4" w:space="0"/>
              <w:right w:val="single" w:color="auto" w:sz="4" w:space="0"/>
            </w:tcBorders>
            <w:vAlign w:val="center"/>
          </w:tcPr>
          <w:p w14:paraId="70172E82">
            <w:pPr>
              <w:spacing w:line="240" w:lineRule="auto"/>
              <w:jc w:val="center"/>
              <w:rPr>
                <w:rFonts w:hint="default" w:ascii="Times New Roman" w:hAnsi="Times New Roman"/>
                <w:color w:val="auto"/>
                <w:kern w:val="0"/>
                <w:sz w:val="15"/>
                <w:szCs w:val="15"/>
                <w:lang w:val="en-US" w:eastAsia="zh-CN"/>
              </w:rPr>
            </w:pPr>
            <w:r>
              <w:rPr>
                <w:rFonts w:hint="eastAsia" w:ascii="Times New Roman" w:hAnsi="Times New Roman"/>
                <w:color w:val="auto"/>
                <w:kern w:val="0"/>
                <w:sz w:val="15"/>
                <w:szCs w:val="15"/>
              </w:rPr>
              <w:t>0.77</w:t>
            </w:r>
          </w:p>
        </w:tc>
        <w:tc>
          <w:tcPr>
            <w:tcW w:w="720" w:type="dxa"/>
            <w:tcBorders>
              <w:top w:val="single" w:color="auto" w:sz="4" w:space="0"/>
              <w:left w:val="single" w:color="auto" w:sz="4" w:space="0"/>
              <w:bottom w:val="single" w:color="auto" w:sz="4" w:space="0"/>
              <w:right w:val="single" w:color="auto" w:sz="4" w:space="0"/>
            </w:tcBorders>
            <w:vAlign w:val="center"/>
          </w:tcPr>
          <w:p w14:paraId="003D0EF7">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1.21 </w:t>
            </w:r>
          </w:p>
        </w:tc>
      </w:tr>
      <w:tr w14:paraId="0319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restart"/>
            <w:tcBorders>
              <w:left w:val="single" w:color="auto" w:sz="4" w:space="0"/>
              <w:right w:val="single" w:color="auto" w:sz="4" w:space="0"/>
            </w:tcBorders>
            <w:vAlign w:val="center"/>
          </w:tcPr>
          <w:p w14:paraId="2CFB8807">
            <w:pPr>
              <w:widowControl/>
              <w:jc w:val="left"/>
              <w:rPr>
                <w:rFonts w:hint="default" w:ascii="Times New Roman" w:hAnsi="Times New Roman" w:eastAsia="宋体"/>
                <w:color w:val="auto"/>
                <w:sz w:val="15"/>
                <w:szCs w:val="15"/>
                <w:lang w:val="en-US" w:eastAsia="zh-CN"/>
              </w:rPr>
            </w:pPr>
            <w:r>
              <w:rPr>
                <w:rFonts w:hint="eastAsia" w:ascii="Times New Roman" w:hAnsi="Times New Roman"/>
                <w:color w:val="auto"/>
                <w:sz w:val="15"/>
                <w:szCs w:val="15"/>
                <w:lang w:val="en-US" w:eastAsia="zh-CN"/>
              </w:rPr>
              <w:t>离线无银Low-E镀膜玻璃</w:t>
            </w:r>
          </w:p>
        </w:tc>
        <w:tc>
          <w:tcPr>
            <w:tcW w:w="2538" w:type="dxa"/>
            <w:tcBorders>
              <w:top w:val="single" w:color="auto" w:sz="4" w:space="0"/>
              <w:left w:val="single" w:color="auto" w:sz="4" w:space="0"/>
              <w:bottom w:val="single" w:color="auto" w:sz="4" w:space="0"/>
              <w:right w:val="single" w:color="auto" w:sz="4" w:space="0"/>
            </w:tcBorders>
            <w:vAlign w:val="center"/>
          </w:tcPr>
          <w:p w14:paraId="30FB589A">
            <w:pPr>
              <w:spacing w:line="240" w:lineRule="auto"/>
              <w:jc w:val="center"/>
              <w:rPr>
                <w:rFonts w:hint="eastAsia" w:ascii="Times New Roman" w:hAnsi="Times New Roman"/>
                <w:color w:val="auto"/>
                <w:kern w:val="0"/>
                <w:sz w:val="15"/>
                <w:szCs w:val="15"/>
              </w:rPr>
            </w:pPr>
            <w:r>
              <w:rPr>
                <w:rFonts w:hint="eastAsia" w:ascii="Times New Roman" w:hAnsi="Times New Roman"/>
                <w:color w:val="auto"/>
                <w:kern w:val="0"/>
                <w:sz w:val="15"/>
                <w:szCs w:val="15"/>
                <w:lang w:val="en-US" w:eastAsia="zh-CN"/>
              </w:rPr>
              <w:t>5</w:t>
            </w:r>
            <w:r>
              <w:rPr>
                <w:rFonts w:hint="eastAsia" w:ascii="Times New Roman" w:hAnsi="Times New Roman"/>
                <w:color w:val="auto"/>
                <w:kern w:val="0"/>
                <w:sz w:val="15"/>
                <w:szCs w:val="15"/>
              </w:rPr>
              <w:t>mm</w:t>
            </w:r>
          </w:p>
        </w:tc>
        <w:tc>
          <w:tcPr>
            <w:tcW w:w="895" w:type="dxa"/>
            <w:tcBorders>
              <w:top w:val="single" w:color="auto" w:sz="4" w:space="0"/>
              <w:left w:val="single" w:color="auto" w:sz="4" w:space="0"/>
              <w:bottom w:val="single" w:color="auto" w:sz="4" w:space="0"/>
              <w:right w:val="single" w:color="auto" w:sz="4" w:space="0"/>
            </w:tcBorders>
            <w:vAlign w:val="center"/>
          </w:tcPr>
          <w:p w14:paraId="0BF9A832">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0.89</w:t>
            </w:r>
          </w:p>
        </w:tc>
        <w:tc>
          <w:tcPr>
            <w:tcW w:w="796" w:type="dxa"/>
            <w:tcBorders>
              <w:top w:val="single" w:color="auto" w:sz="4" w:space="0"/>
              <w:left w:val="single" w:color="auto" w:sz="4" w:space="0"/>
              <w:bottom w:val="single" w:color="auto" w:sz="4" w:space="0"/>
              <w:right w:val="single" w:color="auto" w:sz="4" w:space="0"/>
            </w:tcBorders>
            <w:vAlign w:val="center"/>
          </w:tcPr>
          <w:p w14:paraId="6B6339B1">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4E7AC35D">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0.79</w:t>
            </w:r>
          </w:p>
        </w:tc>
        <w:tc>
          <w:tcPr>
            <w:tcW w:w="851" w:type="dxa"/>
            <w:tcBorders>
              <w:top w:val="single" w:color="auto" w:sz="4" w:space="0"/>
              <w:left w:val="single" w:color="auto" w:sz="4" w:space="0"/>
              <w:bottom w:val="single" w:color="auto" w:sz="4" w:space="0"/>
              <w:right w:val="single" w:color="auto" w:sz="4" w:space="0"/>
            </w:tcBorders>
            <w:vAlign w:val="center"/>
          </w:tcPr>
          <w:p w14:paraId="3A256DFA">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0.81</w:t>
            </w:r>
          </w:p>
        </w:tc>
        <w:tc>
          <w:tcPr>
            <w:tcW w:w="905" w:type="dxa"/>
            <w:tcBorders>
              <w:top w:val="single" w:color="auto" w:sz="4" w:space="0"/>
              <w:left w:val="single" w:color="auto" w:sz="4" w:space="0"/>
              <w:bottom w:val="single" w:color="auto" w:sz="4" w:space="0"/>
              <w:right w:val="single" w:color="auto" w:sz="4" w:space="0"/>
            </w:tcBorders>
            <w:vAlign w:val="center"/>
          </w:tcPr>
          <w:p w14:paraId="0EAA322E">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0.72</w:t>
            </w:r>
          </w:p>
        </w:tc>
        <w:tc>
          <w:tcPr>
            <w:tcW w:w="720" w:type="dxa"/>
            <w:tcBorders>
              <w:top w:val="single" w:color="auto" w:sz="4" w:space="0"/>
              <w:left w:val="single" w:color="auto" w:sz="4" w:space="0"/>
              <w:bottom w:val="single" w:color="auto" w:sz="4" w:space="0"/>
              <w:right w:val="single" w:color="auto" w:sz="4" w:space="0"/>
            </w:tcBorders>
            <w:vAlign w:val="center"/>
          </w:tcPr>
          <w:p w14:paraId="0EA3AC3B">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1.10 </w:t>
            </w:r>
          </w:p>
        </w:tc>
      </w:tr>
      <w:tr w14:paraId="199B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1751BDD9">
            <w:pPr>
              <w:widowControl/>
              <w:jc w:val="left"/>
              <w:rPr>
                <w:rFonts w:hint="default" w:ascii="Times New Roman" w:hAnsi="Times New Roman" w:eastAsia="宋体"/>
                <w:color w:val="auto"/>
                <w:sz w:val="15"/>
                <w:szCs w:val="15"/>
                <w:lang w:val="en-US" w:eastAsia="zh-CN"/>
              </w:rPr>
            </w:pPr>
          </w:p>
        </w:tc>
        <w:tc>
          <w:tcPr>
            <w:tcW w:w="2538" w:type="dxa"/>
            <w:tcBorders>
              <w:top w:val="single" w:color="auto" w:sz="4" w:space="0"/>
              <w:left w:val="single" w:color="auto" w:sz="4" w:space="0"/>
              <w:bottom w:val="single" w:color="auto" w:sz="4" w:space="0"/>
              <w:right w:val="single" w:color="auto" w:sz="4" w:space="0"/>
            </w:tcBorders>
            <w:vAlign w:val="center"/>
          </w:tcPr>
          <w:p w14:paraId="7595562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6mm</w:t>
            </w:r>
          </w:p>
        </w:tc>
        <w:tc>
          <w:tcPr>
            <w:tcW w:w="895" w:type="dxa"/>
            <w:tcBorders>
              <w:top w:val="single" w:color="auto" w:sz="4" w:space="0"/>
              <w:left w:val="single" w:color="auto" w:sz="4" w:space="0"/>
              <w:bottom w:val="single" w:color="auto" w:sz="4" w:space="0"/>
              <w:right w:val="single" w:color="auto" w:sz="4" w:space="0"/>
            </w:tcBorders>
            <w:vAlign w:val="center"/>
          </w:tcPr>
          <w:p w14:paraId="7CD3F03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0.89</w:t>
            </w:r>
          </w:p>
        </w:tc>
        <w:tc>
          <w:tcPr>
            <w:tcW w:w="796" w:type="dxa"/>
            <w:tcBorders>
              <w:top w:val="single" w:color="auto" w:sz="4" w:space="0"/>
              <w:left w:val="single" w:color="auto" w:sz="4" w:space="0"/>
              <w:bottom w:val="single" w:color="auto" w:sz="4" w:space="0"/>
              <w:right w:val="single" w:color="auto" w:sz="4" w:space="0"/>
            </w:tcBorders>
            <w:vAlign w:val="center"/>
          </w:tcPr>
          <w:p w14:paraId="1934570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7D3D49E1">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0.77</w:t>
            </w:r>
          </w:p>
        </w:tc>
        <w:tc>
          <w:tcPr>
            <w:tcW w:w="851" w:type="dxa"/>
            <w:tcBorders>
              <w:top w:val="single" w:color="auto" w:sz="4" w:space="0"/>
              <w:left w:val="single" w:color="auto" w:sz="4" w:space="0"/>
              <w:bottom w:val="single" w:color="auto" w:sz="4" w:space="0"/>
              <w:right w:val="single" w:color="auto" w:sz="4" w:space="0"/>
            </w:tcBorders>
            <w:vAlign w:val="center"/>
          </w:tcPr>
          <w:p w14:paraId="63D0601F">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0.80 </w:t>
            </w:r>
          </w:p>
        </w:tc>
        <w:tc>
          <w:tcPr>
            <w:tcW w:w="905" w:type="dxa"/>
            <w:tcBorders>
              <w:top w:val="single" w:color="auto" w:sz="4" w:space="0"/>
              <w:left w:val="single" w:color="auto" w:sz="4" w:space="0"/>
              <w:bottom w:val="single" w:color="auto" w:sz="4" w:space="0"/>
              <w:right w:val="single" w:color="auto" w:sz="4" w:space="0"/>
            </w:tcBorders>
            <w:vAlign w:val="center"/>
          </w:tcPr>
          <w:p w14:paraId="740CA18E">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0.70 </w:t>
            </w:r>
          </w:p>
        </w:tc>
        <w:tc>
          <w:tcPr>
            <w:tcW w:w="720" w:type="dxa"/>
            <w:tcBorders>
              <w:top w:val="single" w:color="auto" w:sz="4" w:space="0"/>
              <w:left w:val="single" w:color="auto" w:sz="4" w:space="0"/>
              <w:bottom w:val="single" w:color="auto" w:sz="4" w:space="0"/>
              <w:right w:val="single" w:color="auto" w:sz="4" w:space="0"/>
            </w:tcBorders>
            <w:vAlign w:val="center"/>
          </w:tcPr>
          <w:p w14:paraId="75CADFD9">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1.11 </w:t>
            </w:r>
          </w:p>
        </w:tc>
      </w:tr>
      <w:tr w14:paraId="71D3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366552D7">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3EF7FF72">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8mm</w:t>
            </w:r>
          </w:p>
        </w:tc>
        <w:tc>
          <w:tcPr>
            <w:tcW w:w="895" w:type="dxa"/>
            <w:tcBorders>
              <w:top w:val="single" w:color="auto" w:sz="4" w:space="0"/>
              <w:left w:val="single" w:color="auto" w:sz="4" w:space="0"/>
              <w:bottom w:val="single" w:color="auto" w:sz="4" w:space="0"/>
              <w:right w:val="single" w:color="auto" w:sz="4" w:space="0"/>
            </w:tcBorders>
            <w:vAlign w:val="center"/>
          </w:tcPr>
          <w:p w14:paraId="680CAB0F">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0.88</w:t>
            </w:r>
          </w:p>
        </w:tc>
        <w:tc>
          <w:tcPr>
            <w:tcW w:w="796" w:type="dxa"/>
            <w:tcBorders>
              <w:top w:val="single" w:color="auto" w:sz="4" w:space="0"/>
              <w:left w:val="single" w:color="auto" w:sz="4" w:space="0"/>
              <w:bottom w:val="single" w:color="auto" w:sz="4" w:space="0"/>
              <w:right w:val="single" w:color="auto" w:sz="4" w:space="0"/>
            </w:tcBorders>
            <w:vAlign w:val="center"/>
          </w:tcPr>
          <w:p w14:paraId="60E33DBD">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4EE5946E">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0.74</w:t>
            </w:r>
          </w:p>
        </w:tc>
        <w:tc>
          <w:tcPr>
            <w:tcW w:w="851" w:type="dxa"/>
            <w:tcBorders>
              <w:top w:val="single" w:color="auto" w:sz="4" w:space="0"/>
              <w:left w:val="single" w:color="auto" w:sz="4" w:space="0"/>
              <w:bottom w:val="single" w:color="auto" w:sz="4" w:space="0"/>
              <w:right w:val="single" w:color="auto" w:sz="4" w:space="0"/>
            </w:tcBorders>
            <w:vAlign w:val="center"/>
          </w:tcPr>
          <w:p w14:paraId="5B9F9EB2">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0.77</w:t>
            </w:r>
          </w:p>
        </w:tc>
        <w:tc>
          <w:tcPr>
            <w:tcW w:w="905" w:type="dxa"/>
            <w:tcBorders>
              <w:top w:val="single" w:color="auto" w:sz="4" w:space="0"/>
              <w:left w:val="single" w:color="auto" w:sz="4" w:space="0"/>
              <w:bottom w:val="single" w:color="auto" w:sz="4" w:space="0"/>
              <w:right w:val="single" w:color="auto" w:sz="4" w:space="0"/>
            </w:tcBorders>
            <w:vAlign w:val="center"/>
          </w:tcPr>
          <w:p w14:paraId="7D11E06B">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0.66</w:t>
            </w:r>
          </w:p>
        </w:tc>
        <w:tc>
          <w:tcPr>
            <w:tcW w:w="720" w:type="dxa"/>
            <w:tcBorders>
              <w:top w:val="single" w:color="auto" w:sz="4" w:space="0"/>
              <w:left w:val="single" w:color="auto" w:sz="4" w:space="0"/>
              <w:bottom w:val="single" w:color="auto" w:sz="4" w:space="0"/>
              <w:right w:val="single" w:color="auto" w:sz="4" w:space="0"/>
            </w:tcBorders>
            <w:vAlign w:val="center"/>
          </w:tcPr>
          <w:p w14:paraId="4DB2CED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1.14 </w:t>
            </w:r>
          </w:p>
        </w:tc>
      </w:tr>
      <w:tr w14:paraId="6333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06CB4118">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198D140D">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10mm</w:t>
            </w:r>
          </w:p>
        </w:tc>
        <w:tc>
          <w:tcPr>
            <w:tcW w:w="895" w:type="dxa"/>
            <w:tcBorders>
              <w:top w:val="single" w:color="auto" w:sz="4" w:space="0"/>
              <w:left w:val="single" w:color="auto" w:sz="4" w:space="0"/>
              <w:bottom w:val="single" w:color="auto" w:sz="4" w:space="0"/>
              <w:right w:val="single" w:color="auto" w:sz="4" w:space="0"/>
            </w:tcBorders>
            <w:vAlign w:val="center"/>
          </w:tcPr>
          <w:p w14:paraId="44B2F8A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0.86</w:t>
            </w:r>
          </w:p>
        </w:tc>
        <w:tc>
          <w:tcPr>
            <w:tcW w:w="796" w:type="dxa"/>
            <w:tcBorders>
              <w:top w:val="single" w:color="auto" w:sz="4" w:space="0"/>
              <w:left w:val="single" w:color="auto" w:sz="4" w:space="0"/>
              <w:bottom w:val="single" w:color="auto" w:sz="4" w:space="0"/>
              <w:right w:val="single" w:color="auto" w:sz="4" w:space="0"/>
            </w:tcBorders>
            <w:vAlign w:val="center"/>
          </w:tcPr>
          <w:p w14:paraId="375B8321">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2148CF75">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0.71</w:t>
            </w:r>
          </w:p>
        </w:tc>
        <w:tc>
          <w:tcPr>
            <w:tcW w:w="851" w:type="dxa"/>
            <w:tcBorders>
              <w:top w:val="single" w:color="auto" w:sz="4" w:space="0"/>
              <w:left w:val="single" w:color="auto" w:sz="4" w:space="0"/>
              <w:bottom w:val="single" w:color="auto" w:sz="4" w:space="0"/>
              <w:right w:val="single" w:color="auto" w:sz="4" w:space="0"/>
            </w:tcBorders>
            <w:vAlign w:val="center"/>
          </w:tcPr>
          <w:p w14:paraId="056BB12B">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0.75</w:t>
            </w:r>
          </w:p>
        </w:tc>
        <w:tc>
          <w:tcPr>
            <w:tcW w:w="905" w:type="dxa"/>
            <w:tcBorders>
              <w:top w:val="single" w:color="auto" w:sz="4" w:space="0"/>
              <w:left w:val="single" w:color="auto" w:sz="4" w:space="0"/>
              <w:bottom w:val="single" w:color="auto" w:sz="4" w:space="0"/>
              <w:right w:val="single" w:color="auto" w:sz="4" w:space="0"/>
            </w:tcBorders>
            <w:vAlign w:val="center"/>
          </w:tcPr>
          <w:p w14:paraId="17B9AAF0">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0.63</w:t>
            </w:r>
          </w:p>
        </w:tc>
        <w:tc>
          <w:tcPr>
            <w:tcW w:w="720" w:type="dxa"/>
            <w:tcBorders>
              <w:top w:val="single" w:color="auto" w:sz="4" w:space="0"/>
              <w:left w:val="single" w:color="auto" w:sz="4" w:space="0"/>
              <w:bottom w:val="single" w:color="auto" w:sz="4" w:space="0"/>
              <w:right w:val="single" w:color="auto" w:sz="4" w:space="0"/>
            </w:tcBorders>
            <w:vAlign w:val="center"/>
          </w:tcPr>
          <w:p w14:paraId="03097684">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1.15 </w:t>
            </w:r>
          </w:p>
        </w:tc>
      </w:tr>
      <w:tr w14:paraId="31E7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449839A6">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23179DF2">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12mm</w:t>
            </w:r>
          </w:p>
        </w:tc>
        <w:tc>
          <w:tcPr>
            <w:tcW w:w="895" w:type="dxa"/>
            <w:tcBorders>
              <w:top w:val="single" w:color="auto" w:sz="4" w:space="0"/>
              <w:left w:val="single" w:color="auto" w:sz="4" w:space="0"/>
              <w:bottom w:val="single" w:color="auto" w:sz="4" w:space="0"/>
              <w:right w:val="single" w:color="auto" w:sz="4" w:space="0"/>
            </w:tcBorders>
            <w:vAlign w:val="center"/>
          </w:tcPr>
          <w:p w14:paraId="1F1423C0">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0.85</w:t>
            </w:r>
          </w:p>
        </w:tc>
        <w:tc>
          <w:tcPr>
            <w:tcW w:w="796" w:type="dxa"/>
            <w:tcBorders>
              <w:top w:val="single" w:color="auto" w:sz="4" w:space="0"/>
              <w:left w:val="single" w:color="auto" w:sz="4" w:space="0"/>
              <w:bottom w:val="single" w:color="auto" w:sz="4" w:space="0"/>
              <w:right w:val="single" w:color="auto" w:sz="4" w:space="0"/>
            </w:tcBorders>
            <w:vAlign w:val="center"/>
          </w:tcPr>
          <w:p w14:paraId="5A26B969">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0D697D36">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0.67</w:t>
            </w:r>
          </w:p>
        </w:tc>
        <w:tc>
          <w:tcPr>
            <w:tcW w:w="851" w:type="dxa"/>
            <w:tcBorders>
              <w:top w:val="single" w:color="auto" w:sz="4" w:space="0"/>
              <w:left w:val="single" w:color="auto" w:sz="4" w:space="0"/>
              <w:bottom w:val="single" w:color="auto" w:sz="4" w:space="0"/>
              <w:right w:val="single" w:color="auto" w:sz="4" w:space="0"/>
            </w:tcBorders>
            <w:vAlign w:val="center"/>
          </w:tcPr>
          <w:p w14:paraId="403BB67C">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0.71</w:t>
            </w:r>
          </w:p>
        </w:tc>
        <w:tc>
          <w:tcPr>
            <w:tcW w:w="905" w:type="dxa"/>
            <w:tcBorders>
              <w:top w:val="single" w:color="auto" w:sz="4" w:space="0"/>
              <w:left w:val="single" w:color="auto" w:sz="4" w:space="0"/>
              <w:bottom w:val="single" w:color="auto" w:sz="4" w:space="0"/>
              <w:right w:val="single" w:color="auto" w:sz="4" w:space="0"/>
            </w:tcBorders>
            <w:vAlign w:val="center"/>
          </w:tcPr>
          <w:p w14:paraId="12AA7543">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0.58</w:t>
            </w:r>
          </w:p>
        </w:tc>
        <w:tc>
          <w:tcPr>
            <w:tcW w:w="720" w:type="dxa"/>
            <w:tcBorders>
              <w:top w:val="single" w:color="auto" w:sz="4" w:space="0"/>
              <w:left w:val="single" w:color="auto" w:sz="4" w:space="0"/>
              <w:bottom w:val="single" w:color="auto" w:sz="4" w:space="0"/>
              <w:right w:val="single" w:color="auto" w:sz="4" w:space="0"/>
            </w:tcBorders>
            <w:vAlign w:val="center"/>
          </w:tcPr>
          <w:p w14:paraId="7B11D83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1.20 </w:t>
            </w:r>
          </w:p>
        </w:tc>
      </w:tr>
      <w:tr w14:paraId="2DBE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4" w:type="dxa"/>
            <w:vMerge w:val="continue"/>
            <w:tcBorders>
              <w:left w:val="single" w:color="auto" w:sz="4" w:space="0"/>
              <w:right w:val="single" w:color="auto" w:sz="4" w:space="0"/>
            </w:tcBorders>
            <w:vAlign w:val="center"/>
          </w:tcPr>
          <w:p w14:paraId="56354FCC">
            <w:pPr>
              <w:widowControl/>
              <w:jc w:val="left"/>
              <w:rPr>
                <w:rFonts w:ascii="Times New Roman" w:hAnsi="Times New Roman"/>
                <w:color w:val="auto"/>
                <w:sz w:val="15"/>
                <w:szCs w:val="15"/>
              </w:rPr>
            </w:pPr>
          </w:p>
        </w:tc>
        <w:tc>
          <w:tcPr>
            <w:tcW w:w="2538" w:type="dxa"/>
            <w:tcBorders>
              <w:top w:val="single" w:color="auto" w:sz="4" w:space="0"/>
              <w:left w:val="single" w:color="auto" w:sz="4" w:space="0"/>
              <w:bottom w:val="single" w:color="auto" w:sz="4" w:space="0"/>
              <w:right w:val="single" w:color="auto" w:sz="4" w:space="0"/>
            </w:tcBorders>
            <w:vAlign w:val="center"/>
          </w:tcPr>
          <w:p w14:paraId="0878E04C">
            <w:pPr>
              <w:spacing w:line="240" w:lineRule="auto"/>
              <w:jc w:val="center"/>
              <w:rPr>
                <w:rFonts w:hint="default" w:ascii="Times New Roman" w:hAnsi="Times New Roman"/>
                <w:color w:val="auto"/>
                <w:kern w:val="0"/>
                <w:sz w:val="15"/>
                <w:szCs w:val="15"/>
                <w:lang w:val="en-US" w:eastAsia="zh-CN"/>
              </w:rPr>
            </w:pPr>
            <w:r>
              <w:rPr>
                <w:rFonts w:hint="eastAsia" w:ascii="Times New Roman" w:hAnsi="Times New Roman"/>
                <w:color w:val="auto"/>
                <w:kern w:val="0"/>
                <w:sz w:val="15"/>
                <w:szCs w:val="15"/>
                <w:lang w:val="en-US" w:eastAsia="zh-CN"/>
              </w:rPr>
              <w:t>15mm</w:t>
            </w:r>
          </w:p>
        </w:tc>
        <w:tc>
          <w:tcPr>
            <w:tcW w:w="895" w:type="dxa"/>
            <w:tcBorders>
              <w:top w:val="single" w:color="auto" w:sz="4" w:space="0"/>
              <w:left w:val="single" w:color="auto" w:sz="4" w:space="0"/>
              <w:bottom w:val="single" w:color="auto" w:sz="4" w:space="0"/>
              <w:right w:val="single" w:color="auto" w:sz="4" w:space="0"/>
            </w:tcBorders>
            <w:vAlign w:val="center"/>
          </w:tcPr>
          <w:p w14:paraId="204F6048">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0.84</w:t>
            </w:r>
          </w:p>
        </w:tc>
        <w:tc>
          <w:tcPr>
            <w:tcW w:w="796" w:type="dxa"/>
            <w:tcBorders>
              <w:top w:val="single" w:color="auto" w:sz="4" w:space="0"/>
              <w:left w:val="single" w:color="auto" w:sz="4" w:space="0"/>
              <w:bottom w:val="single" w:color="auto" w:sz="4" w:space="0"/>
              <w:right w:val="single" w:color="auto" w:sz="4" w:space="0"/>
            </w:tcBorders>
            <w:vAlign w:val="center"/>
          </w:tcPr>
          <w:p w14:paraId="6441AF8B">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0.08</w:t>
            </w:r>
          </w:p>
        </w:tc>
        <w:tc>
          <w:tcPr>
            <w:tcW w:w="1047" w:type="dxa"/>
            <w:tcBorders>
              <w:top w:val="single" w:color="auto" w:sz="4" w:space="0"/>
              <w:left w:val="single" w:color="auto" w:sz="4" w:space="0"/>
              <w:bottom w:val="single" w:color="auto" w:sz="4" w:space="0"/>
              <w:right w:val="single" w:color="auto" w:sz="4" w:space="0"/>
            </w:tcBorders>
            <w:vAlign w:val="center"/>
          </w:tcPr>
          <w:p w14:paraId="7B6E33A0">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0.66</w:t>
            </w:r>
          </w:p>
        </w:tc>
        <w:tc>
          <w:tcPr>
            <w:tcW w:w="851" w:type="dxa"/>
            <w:tcBorders>
              <w:top w:val="single" w:color="auto" w:sz="4" w:space="0"/>
              <w:left w:val="single" w:color="auto" w:sz="4" w:space="0"/>
              <w:bottom w:val="single" w:color="auto" w:sz="4" w:space="0"/>
              <w:right w:val="single" w:color="auto" w:sz="4" w:space="0"/>
            </w:tcBorders>
            <w:vAlign w:val="center"/>
          </w:tcPr>
          <w:p w14:paraId="74C6A4D5">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0.71</w:t>
            </w:r>
          </w:p>
        </w:tc>
        <w:tc>
          <w:tcPr>
            <w:tcW w:w="905" w:type="dxa"/>
            <w:tcBorders>
              <w:top w:val="single" w:color="auto" w:sz="4" w:space="0"/>
              <w:left w:val="single" w:color="auto" w:sz="4" w:space="0"/>
              <w:bottom w:val="single" w:color="auto" w:sz="4" w:space="0"/>
              <w:right w:val="single" w:color="auto" w:sz="4" w:space="0"/>
            </w:tcBorders>
            <w:vAlign w:val="center"/>
          </w:tcPr>
          <w:p w14:paraId="3C2B6733">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0.58</w:t>
            </w:r>
          </w:p>
        </w:tc>
        <w:tc>
          <w:tcPr>
            <w:tcW w:w="720" w:type="dxa"/>
            <w:tcBorders>
              <w:top w:val="single" w:color="auto" w:sz="4" w:space="0"/>
              <w:left w:val="single" w:color="auto" w:sz="4" w:space="0"/>
              <w:bottom w:val="single" w:color="auto" w:sz="4" w:space="0"/>
              <w:right w:val="single" w:color="auto" w:sz="4" w:space="0"/>
            </w:tcBorders>
            <w:vAlign w:val="center"/>
          </w:tcPr>
          <w:p w14:paraId="16D29165">
            <w:pPr>
              <w:spacing w:line="240" w:lineRule="auto"/>
              <w:jc w:val="center"/>
              <w:rPr>
                <w:rFonts w:hint="eastAsia" w:ascii="Times New Roman" w:hAnsi="Times New Roman"/>
                <w:color w:val="auto"/>
                <w:kern w:val="0"/>
                <w:sz w:val="15"/>
                <w:szCs w:val="15"/>
                <w:lang w:val="en-US" w:eastAsia="zh-CN"/>
              </w:rPr>
            </w:pPr>
            <w:r>
              <w:rPr>
                <w:rFonts w:hint="eastAsia" w:ascii="Times New Roman" w:hAnsi="Times New Roman"/>
                <w:color w:val="auto"/>
                <w:kern w:val="0"/>
                <w:sz w:val="15"/>
                <w:szCs w:val="15"/>
              </w:rPr>
              <w:t xml:space="preserve">1.18 </w:t>
            </w:r>
          </w:p>
        </w:tc>
      </w:tr>
      <w:tr w14:paraId="25B6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196" w:type="dxa"/>
            <w:gridSpan w:val="8"/>
            <w:tcBorders>
              <w:top w:val="single" w:color="auto" w:sz="4" w:space="0"/>
              <w:left w:val="single" w:color="auto" w:sz="4" w:space="0"/>
              <w:bottom w:val="single" w:color="auto" w:sz="4" w:space="0"/>
              <w:right w:val="single" w:color="auto" w:sz="4" w:space="0"/>
            </w:tcBorders>
            <w:vAlign w:val="center"/>
          </w:tcPr>
          <w:p w14:paraId="56D34F1F">
            <w:pPr>
              <w:pStyle w:val="246"/>
              <w:numPr>
                <w:ilvl w:val="0"/>
                <w:numId w:val="27"/>
              </w:numPr>
              <w:rPr>
                <w:rFonts w:ascii="Times New Roman"/>
                <w:color w:val="auto"/>
                <w:sz w:val="13"/>
                <w:szCs w:val="13"/>
              </w:rPr>
            </w:pPr>
            <w:r>
              <w:rPr>
                <w:rFonts w:hint="eastAsia" w:ascii="Times New Roman"/>
                <w:color w:val="auto"/>
                <w:sz w:val="16"/>
                <w:szCs w:val="16"/>
              </w:rPr>
              <w:t>光热比=可见光透射比/太阳能总透射比；</w:t>
            </w:r>
          </w:p>
          <w:p w14:paraId="141CB1CC">
            <w:pPr>
              <w:pStyle w:val="246"/>
              <w:numPr>
                <w:ilvl w:val="0"/>
                <w:numId w:val="27"/>
              </w:numPr>
              <w:rPr>
                <w:rFonts w:ascii="Times New Roman"/>
                <w:color w:val="auto"/>
                <w:sz w:val="15"/>
                <w:szCs w:val="15"/>
              </w:rPr>
            </w:pPr>
            <w:r>
              <w:rPr>
                <w:rFonts w:hint="eastAsia" w:ascii="Times New Roman"/>
                <w:color w:val="auto"/>
                <w:sz w:val="16"/>
                <w:szCs w:val="16"/>
              </w:rPr>
              <w:t>测试依据为GB/T 2680。</w:t>
            </w:r>
          </w:p>
        </w:tc>
      </w:tr>
    </w:tbl>
    <w:p w14:paraId="5D45C8A7">
      <w:pPr>
        <w:autoSpaceDE w:val="0"/>
        <w:autoSpaceDN w:val="0"/>
        <w:snapToGrid w:val="0"/>
        <w:spacing w:line="320" w:lineRule="atLeast"/>
        <w:ind w:firstLine="1080" w:firstLineChars="600"/>
        <w:jc w:val="left"/>
        <w:rPr>
          <w:rFonts w:ascii="Times New Roman" w:hAnsi="Times New Roman"/>
          <w:sz w:val="18"/>
          <w:szCs w:val="18"/>
        </w:rPr>
      </w:pPr>
      <w:r>
        <w:rPr>
          <w:rFonts w:hint="eastAsia" w:ascii="Times New Roman" w:hAnsi="Times New Roman"/>
          <w:sz w:val="18"/>
          <w:szCs w:val="18"/>
        </w:rPr>
        <w:t xml:space="preserve">   </w:t>
      </w:r>
    </w:p>
    <w:p w14:paraId="592FA4FB">
      <w:pPr>
        <w:pStyle w:val="60"/>
        <w:ind w:firstLine="420"/>
        <w:rPr>
          <w:rFonts w:ascii="Times New Roman"/>
        </w:rPr>
      </w:pPr>
    </w:p>
    <w:p w14:paraId="457AC0B6">
      <w:pPr>
        <w:pStyle w:val="60"/>
        <w:ind w:firstLine="420"/>
        <w:rPr>
          <w:rFonts w:ascii="Times New Roman"/>
        </w:rPr>
        <w:sectPr>
          <w:headerReference r:id="rId21" w:type="default"/>
          <w:footerReference r:id="rId23" w:type="default"/>
          <w:headerReference r:id="rId22" w:type="even"/>
          <w:footerReference r:id="rId24" w:type="even"/>
          <w:pgSz w:w="11906" w:h="16838"/>
          <w:pgMar w:top="1871" w:right="1134" w:bottom="1134" w:left="1134" w:header="1418" w:footer="1134" w:gutter="284"/>
          <w:pgBorders>
            <w:top w:val="none" w:sz="0" w:space="0"/>
            <w:left w:val="none" w:sz="0" w:space="0"/>
            <w:bottom w:val="none" w:sz="0" w:space="0"/>
            <w:right w:val="none" w:sz="0" w:space="0"/>
          </w:pgBorders>
          <w:cols w:space="425" w:num="1"/>
          <w:formProt w:val="0"/>
          <w:docGrid w:type="lines" w:linePitch="312" w:charSpace="0"/>
        </w:sectPr>
      </w:pPr>
    </w:p>
    <w:p w14:paraId="0771E366">
      <w:pPr>
        <w:pStyle w:val="202"/>
        <w:rPr>
          <w:rFonts w:ascii="Times New Roman" w:hAnsi="Times New Roman"/>
          <w:vanish w:val="0"/>
        </w:rPr>
      </w:pPr>
    </w:p>
    <w:p w14:paraId="372D8331">
      <w:pPr>
        <w:pStyle w:val="203"/>
        <w:rPr>
          <w:rFonts w:ascii="Times New Roman"/>
          <w:vanish w:val="0"/>
        </w:rPr>
      </w:pPr>
    </w:p>
    <w:p w14:paraId="680EBF0C">
      <w:pPr>
        <w:pStyle w:val="80"/>
        <w:spacing w:before="78" w:after="156"/>
        <w:rPr>
          <w:rFonts w:ascii="Times New Roman"/>
        </w:rPr>
      </w:pPr>
      <w:bookmarkStart w:id="144" w:name="_Toc4420"/>
      <w:bookmarkStart w:id="145" w:name="_Toc3644"/>
      <w:r>
        <w:rPr>
          <w:rFonts w:ascii="Times New Roman"/>
        </w:rPr>
        <w:br w:type="textWrapping"/>
      </w:r>
      <w:bookmarkStart w:id="146" w:name="_Toc61428364"/>
      <w:r>
        <w:rPr>
          <w:rFonts w:hint="eastAsia" w:ascii="Times New Roman"/>
        </w:rPr>
        <w:t>（</w:t>
      </w:r>
      <w:r>
        <w:rPr>
          <w:rFonts w:hint="eastAsia" w:ascii="Times New Roman"/>
          <w:lang w:val="en-US" w:eastAsia="zh-CN"/>
        </w:rPr>
        <w:t>规范性</w:t>
      </w:r>
      <w:r>
        <w:rPr>
          <w:rFonts w:hint="eastAsia" w:ascii="Times New Roman"/>
        </w:rPr>
        <w:t>）</w:t>
      </w:r>
      <w:r>
        <w:rPr>
          <w:rFonts w:ascii="Times New Roman"/>
        </w:rPr>
        <w:br w:type="textWrapping"/>
      </w:r>
      <w:bookmarkEnd w:id="146"/>
      <w:r>
        <w:rPr>
          <w:rFonts w:hint="eastAsia" w:ascii="Times New Roman"/>
        </w:rPr>
        <w:t>玻璃幕墙反射光分析用计算参数</w:t>
      </w:r>
      <w:bookmarkEnd w:id="144"/>
      <w:bookmarkEnd w:id="145"/>
    </w:p>
    <w:p w14:paraId="731901F3">
      <w:pPr>
        <w:pStyle w:val="60"/>
        <w:spacing w:line="360" w:lineRule="auto"/>
        <w:ind w:firstLine="420"/>
        <w:rPr>
          <w:rFonts w:ascii="Times New Roman"/>
        </w:rPr>
      </w:pPr>
      <w:bookmarkStart w:id="147" w:name="_Toc61428365"/>
      <w:bookmarkEnd w:id="147"/>
      <w:r>
        <w:rPr>
          <w:rFonts w:hint="eastAsia" w:ascii="Times New Roman"/>
        </w:rPr>
        <w:t>B.</w:t>
      </w:r>
      <w:r>
        <w:rPr>
          <w:rFonts w:hint="eastAsia" w:ascii="Times New Roman"/>
          <w:lang w:val="en-US" w:eastAsia="zh-CN"/>
        </w:rPr>
        <w:t>1</w:t>
      </w:r>
      <w:r>
        <w:rPr>
          <w:rFonts w:hint="eastAsia" w:ascii="Times New Roman"/>
        </w:rPr>
        <w:t xml:space="preserve"> 计算基准年应选取公元 2001 年，并采用真太阳时。</w:t>
      </w:r>
    </w:p>
    <w:p w14:paraId="18C41DCE">
      <w:pPr>
        <w:pStyle w:val="60"/>
        <w:spacing w:line="360" w:lineRule="auto"/>
        <w:ind w:firstLine="420"/>
        <w:rPr>
          <w:rFonts w:ascii="Times New Roman"/>
        </w:rPr>
      </w:pPr>
      <w:r>
        <w:rPr>
          <w:rFonts w:hint="eastAsia" w:ascii="Times New Roman"/>
        </w:rPr>
        <w:t>B.</w:t>
      </w:r>
      <w:r>
        <w:rPr>
          <w:rFonts w:hint="eastAsia" w:ascii="Times New Roman"/>
          <w:lang w:val="en-US" w:eastAsia="zh-CN"/>
        </w:rPr>
        <w:t>2</w:t>
      </w:r>
      <w:r>
        <w:rPr>
          <w:rFonts w:hint="eastAsia" w:ascii="Times New Roman"/>
        </w:rPr>
        <w:t xml:space="preserve"> 玻璃幕墙</w:t>
      </w:r>
      <w:r>
        <w:rPr>
          <w:rFonts w:hint="eastAsia" w:ascii="Times New Roman"/>
          <w:lang w:eastAsia="zh-CN"/>
        </w:rPr>
        <w:t>反射光</w:t>
      </w:r>
      <w:r>
        <w:rPr>
          <w:rFonts w:hint="eastAsia" w:ascii="Times New Roman"/>
        </w:rPr>
        <w:t>分析用典型日见表B.</w:t>
      </w:r>
      <w:r>
        <w:rPr>
          <w:rFonts w:hint="eastAsia" w:ascii="Times New Roman"/>
          <w:lang w:val="en-US" w:eastAsia="zh-CN"/>
        </w:rPr>
        <w:t>1</w:t>
      </w:r>
      <w:r>
        <w:rPr>
          <w:rFonts w:hint="eastAsia" w:ascii="Times New Roman"/>
        </w:rPr>
        <w:t>。</w:t>
      </w:r>
    </w:p>
    <w:p w14:paraId="4920024B">
      <w:pPr>
        <w:autoSpaceDE w:val="0"/>
        <w:autoSpaceDN w:val="0"/>
        <w:snapToGrid w:val="0"/>
        <w:spacing w:line="400" w:lineRule="atLeast"/>
        <w:jc w:val="center"/>
        <w:rPr>
          <w:rFonts w:hint="eastAsia" w:ascii="Times New Roman" w:hAnsi="Times New Roman" w:eastAsia="黑体"/>
          <w:kern w:val="0"/>
          <w:szCs w:val="20"/>
        </w:rPr>
      </w:pPr>
      <w:r>
        <w:rPr>
          <w:rFonts w:hint="eastAsia" w:ascii="Times New Roman" w:hAnsi="Times New Roman" w:eastAsia="黑体"/>
          <w:kern w:val="0"/>
          <w:szCs w:val="20"/>
        </w:rPr>
        <w:t>表B.</w:t>
      </w:r>
      <w:r>
        <w:rPr>
          <w:rFonts w:hint="eastAsia" w:ascii="Times New Roman" w:hAnsi="Times New Roman" w:eastAsia="黑体"/>
          <w:kern w:val="0"/>
          <w:szCs w:val="20"/>
          <w:lang w:val="en-US" w:eastAsia="zh-CN"/>
        </w:rPr>
        <w:t>1</w:t>
      </w:r>
      <w:r>
        <w:rPr>
          <w:rFonts w:hint="eastAsia" w:ascii="Times New Roman" w:hAnsi="Times New Roman" w:eastAsia="黑体"/>
          <w:kern w:val="0"/>
          <w:szCs w:val="20"/>
        </w:rPr>
        <w:t xml:space="preserve"> </w:t>
      </w:r>
      <w:r>
        <w:rPr>
          <w:rFonts w:hint="eastAsia" w:ascii="Times New Roman" w:hAnsi="Times New Roman" w:eastAsia="黑体"/>
          <w:kern w:val="0"/>
          <w:szCs w:val="20"/>
          <w:lang w:eastAsia="zh-CN"/>
        </w:rPr>
        <w:t>反射光</w:t>
      </w:r>
      <w:r>
        <w:rPr>
          <w:rFonts w:hint="eastAsia" w:ascii="Times New Roman" w:hAnsi="Times New Roman" w:eastAsia="黑体"/>
          <w:kern w:val="0"/>
          <w:szCs w:val="20"/>
        </w:rPr>
        <w:t>分析用典型日</w:t>
      </w: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7"/>
        <w:gridCol w:w="2436"/>
        <w:gridCol w:w="768"/>
        <w:gridCol w:w="2441"/>
      </w:tblGrid>
      <w:tr w14:paraId="5F458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tcPr>
          <w:p w14:paraId="167E5A18">
            <w:pPr>
              <w:pStyle w:val="235"/>
              <w:ind w:firstLine="0" w:firstLineChars="0"/>
              <w:jc w:val="center"/>
              <w:rPr>
                <w:rFonts w:ascii="Times New Roman"/>
                <w:szCs w:val="18"/>
              </w:rPr>
            </w:pPr>
            <w:r>
              <w:rPr>
                <w:rFonts w:hint="eastAsia" w:ascii="Times New Roman"/>
                <w:sz w:val="18"/>
                <w:szCs w:val="18"/>
              </w:rPr>
              <w:t>序号</w:t>
            </w:r>
          </w:p>
        </w:tc>
        <w:tc>
          <w:tcPr>
            <w:tcW w:w="2436" w:type="dxa"/>
            <w:tcBorders>
              <w:right w:val="single" w:color="auto" w:sz="4" w:space="0"/>
            </w:tcBorders>
          </w:tcPr>
          <w:p w14:paraId="4B217A61">
            <w:pPr>
              <w:pStyle w:val="235"/>
              <w:ind w:firstLine="0" w:firstLineChars="0"/>
              <w:jc w:val="center"/>
              <w:rPr>
                <w:rFonts w:ascii="Times New Roman"/>
                <w:szCs w:val="18"/>
              </w:rPr>
            </w:pPr>
            <w:r>
              <w:rPr>
                <w:rFonts w:hint="eastAsia" w:ascii="Times New Roman"/>
                <w:sz w:val="18"/>
                <w:szCs w:val="18"/>
              </w:rPr>
              <w:t>典型日</w:t>
            </w:r>
          </w:p>
        </w:tc>
        <w:tc>
          <w:tcPr>
            <w:tcW w:w="768" w:type="dxa"/>
            <w:tcBorders>
              <w:left w:val="single" w:color="auto" w:sz="4" w:space="0"/>
              <w:right w:val="single" w:color="auto" w:sz="4" w:space="0"/>
            </w:tcBorders>
          </w:tcPr>
          <w:p w14:paraId="17A2D53E">
            <w:pPr>
              <w:pStyle w:val="235"/>
              <w:ind w:firstLine="0" w:firstLineChars="0"/>
              <w:jc w:val="center"/>
              <w:rPr>
                <w:rFonts w:hint="eastAsia" w:ascii="Times New Roman"/>
                <w:sz w:val="18"/>
                <w:szCs w:val="18"/>
              </w:rPr>
            </w:pPr>
            <w:r>
              <w:rPr>
                <w:rFonts w:hint="eastAsia" w:ascii="Times New Roman"/>
                <w:sz w:val="18"/>
                <w:szCs w:val="18"/>
              </w:rPr>
              <w:t>序号</w:t>
            </w:r>
          </w:p>
        </w:tc>
        <w:tc>
          <w:tcPr>
            <w:tcW w:w="2441" w:type="dxa"/>
            <w:tcBorders>
              <w:left w:val="single" w:color="auto" w:sz="4" w:space="0"/>
            </w:tcBorders>
          </w:tcPr>
          <w:p w14:paraId="5496D728">
            <w:pPr>
              <w:pStyle w:val="235"/>
              <w:ind w:firstLine="0" w:firstLineChars="0"/>
              <w:jc w:val="center"/>
              <w:rPr>
                <w:rFonts w:hint="eastAsia" w:ascii="Times New Roman"/>
                <w:sz w:val="18"/>
                <w:szCs w:val="18"/>
              </w:rPr>
            </w:pPr>
            <w:r>
              <w:rPr>
                <w:rFonts w:hint="eastAsia" w:ascii="Times New Roman"/>
                <w:sz w:val="18"/>
                <w:szCs w:val="18"/>
              </w:rPr>
              <w:t>典型日</w:t>
            </w:r>
          </w:p>
        </w:tc>
      </w:tr>
      <w:tr w14:paraId="4F164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35929F70">
            <w:pPr>
              <w:pStyle w:val="235"/>
              <w:ind w:firstLine="0" w:firstLineChars="0"/>
              <w:jc w:val="center"/>
              <w:rPr>
                <w:rFonts w:ascii="Times New Roman"/>
                <w:szCs w:val="18"/>
              </w:rPr>
            </w:pPr>
            <w:r>
              <w:rPr>
                <w:rFonts w:hint="eastAsia" w:ascii="Times New Roman"/>
                <w:sz w:val="18"/>
                <w:szCs w:val="18"/>
                <w:lang w:val="en-US" w:eastAsia="zh-CN"/>
              </w:rPr>
              <w:t>1</w:t>
            </w:r>
          </w:p>
        </w:tc>
        <w:tc>
          <w:tcPr>
            <w:tcW w:w="2436" w:type="dxa"/>
            <w:tcBorders>
              <w:right w:val="single" w:color="auto" w:sz="4" w:space="0"/>
            </w:tcBorders>
            <w:vAlign w:val="center"/>
          </w:tcPr>
          <w:p w14:paraId="7A2BA91D">
            <w:pPr>
              <w:pStyle w:val="235"/>
              <w:ind w:firstLine="0" w:firstLineChars="0"/>
              <w:jc w:val="center"/>
              <w:rPr>
                <w:rFonts w:ascii="Times New Roman"/>
                <w:szCs w:val="18"/>
              </w:rPr>
            </w:pPr>
            <w:r>
              <w:rPr>
                <w:rFonts w:hint="eastAsia" w:ascii="Times New Roman"/>
                <w:sz w:val="18"/>
                <w:szCs w:val="18"/>
              </w:rPr>
              <w:t>冬至（12月</w:t>
            </w:r>
            <w:r>
              <w:rPr>
                <w:rFonts w:ascii="Times New Roman"/>
                <w:sz w:val="18"/>
                <w:szCs w:val="18"/>
              </w:rPr>
              <w:t>22</w:t>
            </w:r>
            <w:r>
              <w:rPr>
                <w:rFonts w:hint="eastAsia" w:ascii="Times New Roman"/>
                <w:sz w:val="18"/>
                <w:szCs w:val="18"/>
              </w:rPr>
              <w:t>日）</w:t>
            </w:r>
          </w:p>
        </w:tc>
        <w:tc>
          <w:tcPr>
            <w:tcW w:w="768" w:type="dxa"/>
            <w:tcBorders>
              <w:left w:val="single" w:color="auto" w:sz="4" w:space="0"/>
              <w:right w:val="single" w:color="auto" w:sz="4" w:space="0"/>
            </w:tcBorders>
            <w:vAlign w:val="center"/>
          </w:tcPr>
          <w:p w14:paraId="6C18A429">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13</w:t>
            </w:r>
          </w:p>
        </w:tc>
        <w:tc>
          <w:tcPr>
            <w:tcW w:w="2441" w:type="dxa"/>
            <w:tcBorders>
              <w:left w:val="single" w:color="auto" w:sz="4" w:space="0"/>
            </w:tcBorders>
            <w:vAlign w:val="center"/>
          </w:tcPr>
          <w:p w14:paraId="76F23C56">
            <w:pPr>
              <w:pStyle w:val="235"/>
              <w:ind w:firstLine="0" w:firstLineChars="0"/>
              <w:jc w:val="center"/>
              <w:rPr>
                <w:rFonts w:hint="eastAsia" w:ascii="Times New Roman"/>
                <w:sz w:val="18"/>
                <w:szCs w:val="18"/>
              </w:rPr>
            </w:pPr>
            <w:r>
              <w:rPr>
                <w:rFonts w:hint="eastAsia" w:ascii="Times New Roman"/>
                <w:sz w:val="18"/>
                <w:szCs w:val="18"/>
              </w:rPr>
              <w:t>夏至（6月21日）</w:t>
            </w:r>
          </w:p>
        </w:tc>
      </w:tr>
      <w:tr w14:paraId="4EFB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4731013C">
            <w:pPr>
              <w:pStyle w:val="235"/>
              <w:ind w:firstLine="0" w:firstLineChars="0"/>
              <w:jc w:val="center"/>
              <w:rPr>
                <w:rFonts w:ascii="Times New Roman"/>
                <w:szCs w:val="18"/>
              </w:rPr>
            </w:pPr>
            <w:r>
              <w:rPr>
                <w:rFonts w:hint="eastAsia" w:ascii="Times New Roman"/>
                <w:sz w:val="18"/>
                <w:szCs w:val="18"/>
                <w:lang w:val="en-US" w:eastAsia="zh-CN"/>
              </w:rPr>
              <w:t>2</w:t>
            </w:r>
          </w:p>
        </w:tc>
        <w:tc>
          <w:tcPr>
            <w:tcW w:w="2436" w:type="dxa"/>
            <w:tcBorders>
              <w:right w:val="single" w:color="auto" w:sz="4" w:space="0"/>
            </w:tcBorders>
            <w:vAlign w:val="center"/>
          </w:tcPr>
          <w:p w14:paraId="73F64C55">
            <w:pPr>
              <w:pStyle w:val="235"/>
              <w:ind w:firstLine="0" w:firstLineChars="0"/>
              <w:jc w:val="center"/>
              <w:rPr>
                <w:rFonts w:ascii="Times New Roman"/>
                <w:szCs w:val="18"/>
              </w:rPr>
            </w:pPr>
            <w:r>
              <w:rPr>
                <w:rFonts w:hint="eastAsia" w:ascii="Times New Roman"/>
                <w:sz w:val="18"/>
                <w:szCs w:val="18"/>
              </w:rPr>
              <w:t>小寒（1月5日）</w:t>
            </w:r>
          </w:p>
        </w:tc>
        <w:tc>
          <w:tcPr>
            <w:tcW w:w="768" w:type="dxa"/>
            <w:tcBorders>
              <w:left w:val="single" w:color="auto" w:sz="4" w:space="0"/>
              <w:right w:val="single" w:color="auto" w:sz="4" w:space="0"/>
            </w:tcBorders>
            <w:vAlign w:val="center"/>
          </w:tcPr>
          <w:p w14:paraId="26566141">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14</w:t>
            </w:r>
          </w:p>
        </w:tc>
        <w:tc>
          <w:tcPr>
            <w:tcW w:w="2441" w:type="dxa"/>
            <w:tcBorders>
              <w:left w:val="single" w:color="auto" w:sz="4" w:space="0"/>
            </w:tcBorders>
            <w:vAlign w:val="center"/>
          </w:tcPr>
          <w:p w14:paraId="2EAA2460">
            <w:pPr>
              <w:pStyle w:val="235"/>
              <w:ind w:firstLine="0" w:firstLineChars="0"/>
              <w:jc w:val="center"/>
              <w:rPr>
                <w:rFonts w:hint="eastAsia" w:ascii="Times New Roman" w:eastAsia="宋体"/>
                <w:sz w:val="18"/>
                <w:szCs w:val="18"/>
                <w:lang w:eastAsia="zh-CN"/>
              </w:rPr>
            </w:pPr>
            <w:r>
              <w:rPr>
                <w:rFonts w:hint="eastAsia" w:ascii="Times New Roman"/>
                <w:sz w:val="18"/>
                <w:szCs w:val="18"/>
              </w:rPr>
              <w:t>大雪（12月</w:t>
            </w:r>
            <w:r>
              <w:rPr>
                <w:rFonts w:ascii="Times New Roman"/>
                <w:sz w:val="18"/>
                <w:szCs w:val="18"/>
              </w:rPr>
              <w:t>7</w:t>
            </w:r>
            <w:r>
              <w:rPr>
                <w:rFonts w:hint="eastAsia" w:ascii="Times New Roman"/>
                <w:sz w:val="18"/>
                <w:szCs w:val="18"/>
              </w:rPr>
              <w:t>日</w:t>
            </w:r>
            <w:r>
              <w:rPr>
                <w:rFonts w:hint="eastAsia" w:ascii="Times New Roman"/>
                <w:sz w:val="18"/>
                <w:szCs w:val="18"/>
                <w:lang w:eastAsia="zh-CN"/>
              </w:rPr>
              <w:t>）</w:t>
            </w:r>
          </w:p>
        </w:tc>
      </w:tr>
      <w:tr w14:paraId="54317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75E7FA50">
            <w:pPr>
              <w:pStyle w:val="235"/>
              <w:ind w:firstLine="0" w:firstLineChars="0"/>
              <w:jc w:val="center"/>
              <w:rPr>
                <w:rFonts w:ascii="Times New Roman"/>
                <w:szCs w:val="18"/>
              </w:rPr>
            </w:pPr>
            <w:r>
              <w:rPr>
                <w:rFonts w:hint="eastAsia" w:ascii="Times New Roman"/>
                <w:sz w:val="18"/>
                <w:szCs w:val="18"/>
                <w:lang w:val="en-US" w:eastAsia="zh-CN"/>
              </w:rPr>
              <w:t>3</w:t>
            </w:r>
          </w:p>
        </w:tc>
        <w:tc>
          <w:tcPr>
            <w:tcW w:w="2436" w:type="dxa"/>
            <w:tcBorders>
              <w:right w:val="single" w:color="auto" w:sz="4" w:space="0"/>
            </w:tcBorders>
            <w:vAlign w:val="center"/>
          </w:tcPr>
          <w:p w14:paraId="2CF8C8F1">
            <w:pPr>
              <w:pStyle w:val="235"/>
              <w:ind w:firstLine="0" w:firstLineChars="0"/>
              <w:jc w:val="center"/>
              <w:rPr>
                <w:rFonts w:ascii="Times New Roman"/>
                <w:szCs w:val="18"/>
              </w:rPr>
            </w:pPr>
            <w:r>
              <w:rPr>
                <w:rFonts w:hint="eastAsia" w:ascii="Times New Roman"/>
                <w:sz w:val="18"/>
                <w:szCs w:val="18"/>
              </w:rPr>
              <w:t>大寒（1月20日）</w:t>
            </w:r>
          </w:p>
        </w:tc>
        <w:tc>
          <w:tcPr>
            <w:tcW w:w="768" w:type="dxa"/>
            <w:tcBorders>
              <w:left w:val="single" w:color="auto" w:sz="4" w:space="0"/>
              <w:right w:val="single" w:color="auto" w:sz="4" w:space="0"/>
            </w:tcBorders>
            <w:vAlign w:val="center"/>
          </w:tcPr>
          <w:p w14:paraId="1C3B705A">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15</w:t>
            </w:r>
          </w:p>
        </w:tc>
        <w:tc>
          <w:tcPr>
            <w:tcW w:w="2441" w:type="dxa"/>
            <w:tcBorders>
              <w:left w:val="single" w:color="auto" w:sz="4" w:space="0"/>
            </w:tcBorders>
            <w:vAlign w:val="center"/>
          </w:tcPr>
          <w:p w14:paraId="1A0B3BD1">
            <w:pPr>
              <w:pStyle w:val="235"/>
              <w:ind w:firstLine="0" w:firstLineChars="0"/>
              <w:jc w:val="center"/>
              <w:rPr>
                <w:rFonts w:hint="eastAsia" w:ascii="Times New Roman"/>
                <w:sz w:val="18"/>
                <w:szCs w:val="18"/>
              </w:rPr>
            </w:pPr>
            <w:r>
              <w:rPr>
                <w:rFonts w:hint="eastAsia" w:ascii="Times New Roman"/>
                <w:sz w:val="18"/>
                <w:szCs w:val="18"/>
              </w:rPr>
              <w:t>小雪（11月22日）</w:t>
            </w:r>
          </w:p>
        </w:tc>
      </w:tr>
      <w:tr w14:paraId="2341B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2F3EC23F">
            <w:pPr>
              <w:pStyle w:val="235"/>
              <w:ind w:firstLine="0" w:firstLineChars="0"/>
              <w:jc w:val="center"/>
              <w:rPr>
                <w:rFonts w:ascii="Times New Roman"/>
                <w:szCs w:val="18"/>
              </w:rPr>
            </w:pPr>
            <w:r>
              <w:rPr>
                <w:rFonts w:hint="eastAsia" w:ascii="Times New Roman"/>
                <w:sz w:val="18"/>
                <w:szCs w:val="18"/>
                <w:lang w:val="en-US" w:eastAsia="zh-CN"/>
              </w:rPr>
              <w:t>4</w:t>
            </w:r>
          </w:p>
        </w:tc>
        <w:tc>
          <w:tcPr>
            <w:tcW w:w="2436" w:type="dxa"/>
            <w:tcBorders>
              <w:right w:val="single" w:color="auto" w:sz="4" w:space="0"/>
            </w:tcBorders>
            <w:vAlign w:val="center"/>
          </w:tcPr>
          <w:p w14:paraId="70E7BE13">
            <w:pPr>
              <w:pStyle w:val="235"/>
              <w:ind w:firstLine="0" w:firstLineChars="0"/>
              <w:jc w:val="center"/>
              <w:rPr>
                <w:rFonts w:ascii="Times New Roman"/>
                <w:szCs w:val="18"/>
              </w:rPr>
            </w:pPr>
            <w:r>
              <w:rPr>
                <w:rFonts w:hint="eastAsia" w:ascii="Times New Roman"/>
                <w:sz w:val="18"/>
                <w:szCs w:val="18"/>
              </w:rPr>
              <w:t>立春（2月</w:t>
            </w:r>
            <w:r>
              <w:rPr>
                <w:rFonts w:ascii="Times New Roman"/>
                <w:sz w:val="18"/>
                <w:szCs w:val="18"/>
              </w:rPr>
              <w:t>4</w:t>
            </w:r>
            <w:r>
              <w:rPr>
                <w:rFonts w:hint="eastAsia" w:ascii="Times New Roman"/>
                <w:sz w:val="18"/>
                <w:szCs w:val="18"/>
              </w:rPr>
              <w:t>日）</w:t>
            </w:r>
          </w:p>
        </w:tc>
        <w:tc>
          <w:tcPr>
            <w:tcW w:w="768" w:type="dxa"/>
            <w:tcBorders>
              <w:left w:val="single" w:color="auto" w:sz="4" w:space="0"/>
              <w:right w:val="single" w:color="auto" w:sz="4" w:space="0"/>
            </w:tcBorders>
            <w:vAlign w:val="center"/>
          </w:tcPr>
          <w:p w14:paraId="1FFA85F7">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16</w:t>
            </w:r>
          </w:p>
        </w:tc>
        <w:tc>
          <w:tcPr>
            <w:tcW w:w="2441" w:type="dxa"/>
            <w:tcBorders>
              <w:left w:val="single" w:color="auto" w:sz="4" w:space="0"/>
            </w:tcBorders>
            <w:vAlign w:val="center"/>
          </w:tcPr>
          <w:p w14:paraId="247BEACA">
            <w:pPr>
              <w:pStyle w:val="235"/>
              <w:ind w:firstLine="0" w:firstLineChars="0"/>
              <w:jc w:val="center"/>
              <w:rPr>
                <w:rFonts w:hint="eastAsia" w:ascii="Times New Roman"/>
                <w:sz w:val="18"/>
                <w:szCs w:val="18"/>
              </w:rPr>
            </w:pPr>
            <w:r>
              <w:rPr>
                <w:rFonts w:hint="eastAsia" w:ascii="Times New Roman"/>
                <w:sz w:val="18"/>
                <w:szCs w:val="18"/>
              </w:rPr>
              <w:t>立冬（11月7日）</w:t>
            </w:r>
          </w:p>
        </w:tc>
      </w:tr>
      <w:tr w14:paraId="4172D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42FA4F60">
            <w:pPr>
              <w:pStyle w:val="235"/>
              <w:ind w:firstLine="0" w:firstLineChars="0"/>
              <w:jc w:val="center"/>
              <w:rPr>
                <w:rFonts w:ascii="Times New Roman"/>
                <w:szCs w:val="18"/>
              </w:rPr>
            </w:pPr>
            <w:r>
              <w:rPr>
                <w:rFonts w:hint="eastAsia" w:ascii="Times New Roman"/>
                <w:sz w:val="18"/>
                <w:szCs w:val="18"/>
                <w:lang w:val="en-US" w:eastAsia="zh-CN"/>
              </w:rPr>
              <w:t>5</w:t>
            </w:r>
          </w:p>
        </w:tc>
        <w:tc>
          <w:tcPr>
            <w:tcW w:w="2436" w:type="dxa"/>
            <w:tcBorders>
              <w:right w:val="single" w:color="auto" w:sz="4" w:space="0"/>
            </w:tcBorders>
            <w:vAlign w:val="center"/>
          </w:tcPr>
          <w:p w14:paraId="2240D459">
            <w:pPr>
              <w:pStyle w:val="235"/>
              <w:ind w:firstLine="0" w:firstLineChars="0"/>
              <w:jc w:val="center"/>
              <w:rPr>
                <w:rFonts w:ascii="Times New Roman"/>
                <w:szCs w:val="18"/>
              </w:rPr>
            </w:pPr>
            <w:r>
              <w:rPr>
                <w:rFonts w:hint="eastAsia" w:ascii="Times New Roman"/>
                <w:sz w:val="18"/>
                <w:szCs w:val="18"/>
              </w:rPr>
              <w:t>雨水（2月18日）</w:t>
            </w:r>
          </w:p>
        </w:tc>
        <w:tc>
          <w:tcPr>
            <w:tcW w:w="768" w:type="dxa"/>
            <w:tcBorders>
              <w:left w:val="single" w:color="auto" w:sz="4" w:space="0"/>
              <w:right w:val="single" w:color="auto" w:sz="4" w:space="0"/>
            </w:tcBorders>
            <w:vAlign w:val="center"/>
          </w:tcPr>
          <w:p w14:paraId="1942B182">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17</w:t>
            </w:r>
          </w:p>
        </w:tc>
        <w:tc>
          <w:tcPr>
            <w:tcW w:w="2441" w:type="dxa"/>
            <w:tcBorders>
              <w:left w:val="single" w:color="auto" w:sz="4" w:space="0"/>
            </w:tcBorders>
            <w:vAlign w:val="center"/>
          </w:tcPr>
          <w:p w14:paraId="32EF6D69">
            <w:pPr>
              <w:pStyle w:val="235"/>
              <w:ind w:firstLine="0" w:firstLineChars="0"/>
              <w:jc w:val="center"/>
              <w:rPr>
                <w:rFonts w:hint="eastAsia" w:ascii="Times New Roman"/>
                <w:sz w:val="18"/>
                <w:szCs w:val="18"/>
              </w:rPr>
            </w:pPr>
            <w:r>
              <w:rPr>
                <w:rFonts w:hint="eastAsia" w:ascii="Times New Roman"/>
                <w:sz w:val="18"/>
                <w:szCs w:val="18"/>
              </w:rPr>
              <w:t>霜降（10月23日）</w:t>
            </w:r>
          </w:p>
        </w:tc>
      </w:tr>
      <w:tr w14:paraId="6179E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79DABB7D">
            <w:pPr>
              <w:pStyle w:val="235"/>
              <w:ind w:firstLine="0" w:firstLineChars="0"/>
              <w:jc w:val="center"/>
              <w:rPr>
                <w:rFonts w:ascii="Times New Roman"/>
                <w:szCs w:val="18"/>
              </w:rPr>
            </w:pPr>
            <w:r>
              <w:rPr>
                <w:rFonts w:hint="eastAsia" w:ascii="Times New Roman"/>
                <w:sz w:val="18"/>
                <w:szCs w:val="18"/>
                <w:lang w:val="en-US" w:eastAsia="zh-CN"/>
              </w:rPr>
              <w:t>6</w:t>
            </w:r>
          </w:p>
        </w:tc>
        <w:tc>
          <w:tcPr>
            <w:tcW w:w="2436" w:type="dxa"/>
            <w:tcBorders>
              <w:right w:val="single" w:color="auto" w:sz="4" w:space="0"/>
            </w:tcBorders>
            <w:vAlign w:val="center"/>
          </w:tcPr>
          <w:p w14:paraId="6E842A29">
            <w:pPr>
              <w:pStyle w:val="235"/>
              <w:ind w:firstLine="0" w:firstLineChars="0"/>
              <w:jc w:val="center"/>
              <w:rPr>
                <w:rFonts w:ascii="Times New Roman"/>
                <w:szCs w:val="18"/>
              </w:rPr>
            </w:pPr>
            <w:r>
              <w:rPr>
                <w:rFonts w:hint="eastAsia" w:ascii="Times New Roman"/>
                <w:sz w:val="18"/>
                <w:szCs w:val="18"/>
              </w:rPr>
              <w:t>惊蛰（3月5日）</w:t>
            </w:r>
          </w:p>
        </w:tc>
        <w:tc>
          <w:tcPr>
            <w:tcW w:w="768" w:type="dxa"/>
            <w:tcBorders>
              <w:left w:val="single" w:color="auto" w:sz="4" w:space="0"/>
              <w:right w:val="single" w:color="auto" w:sz="4" w:space="0"/>
            </w:tcBorders>
            <w:vAlign w:val="center"/>
          </w:tcPr>
          <w:p w14:paraId="3F968B75">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18</w:t>
            </w:r>
          </w:p>
        </w:tc>
        <w:tc>
          <w:tcPr>
            <w:tcW w:w="2441" w:type="dxa"/>
            <w:tcBorders>
              <w:left w:val="single" w:color="auto" w:sz="4" w:space="0"/>
            </w:tcBorders>
            <w:vAlign w:val="center"/>
          </w:tcPr>
          <w:p w14:paraId="32009089">
            <w:pPr>
              <w:pStyle w:val="235"/>
              <w:ind w:firstLine="0" w:firstLineChars="0"/>
              <w:jc w:val="center"/>
              <w:rPr>
                <w:rFonts w:hint="eastAsia" w:ascii="Times New Roman"/>
                <w:sz w:val="18"/>
                <w:szCs w:val="18"/>
              </w:rPr>
            </w:pPr>
            <w:r>
              <w:rPr>
                <w:rFonts w:hint="eastAsia" w:ascii="Times New Roman"/>
                <w:sz w:val="18"/>
                <w:szCs w:val="18"/>
              </w:rPr>
              <w:t>寒露（10月8日）</w:t>
            </w:r>
          </w:p>
        </w:tc>
      </w:tr>
      <w:tr w14:paraId="5DA07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120C8802">
            <w:pPr>
              <w:pStyle w:val="235"/>
              <w:ind w:firstLine="0" w:firstLineChars="0"/>
              <w:jc w:val="center"/>
              <w:rPr>
                <w:rFonts w:ascii="Times New Roman"/>
                <w:szCs w:val="18"/>
              </w:rPr>
            </w:pPr>
            <w:r>
              <w:rPr>
                <w:rFonts w:hint="eastAsia" w:ascii="Times New Roman"/>
                <w:sz w:val="18"/>
                <w:szCs w:val="18"/>
                <w:lang w:val="en-US" w:eastAsia="zh-CN"/>
              </w:rPr>
              <w:t>7</w:t>
            </w:r>
          </w:p>
        </w:tc>
        <w:tc>
          <w:tcPr>
            <w:tcW w:w="2436" w:type="dxa"/>
            <w:tcBorders>
              <w:right w:val="single" w:color="auto" w:sz="4" w:space="0"/>
            </w:tcBorders>
            <w:vAlign w:val="center"/>
          </w:tcPr>
          <w:p w14:paraId="2DE7F2E2">
            <w:pPr>
              <w:pStyle w:val="235"/>
              <w:ind w:firstLine="0" w:firstLineChars="0"/>
              <w:jc w:val="center"/>
              <w:rPr>
                <w:rFonts w:ascii="Times New Roman"/>
                <w:szCs w:val="18"/>
              </w:rPr>
            </w:pPr>
            <w:r>
              <w:rPr>
                <w:rFonts w:hint="eastAsia" w:ascii="Times New Roman"/>
                <w:sz w:val="18"/>
                <w:szCs w:val="18"/>
              </w:rPr>
              <w:t>春分（3月20日）</w:t>
            </w:r>
          </w:p>
        </w:tc>
        <w:tc>
          <w:tcPr>
            <w:tcW w:w="768" w:type="dxa"/>
            <w:tcBorders>
              <w:left w:val="single" w:color="auto" w:sz="4" w:space="0"/>
              <w:right w:val="single" w:color="auto" w:sz="4" w:space="0"/>
            </w:tcBorders>
            <w:vAlign w:val="center"/>
          </w:tcPr>
          <w:p w14:paraId="758D814D">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19</w:t>
            </w:r>
          </w:p>
        </w:tc>
        <w:tc>
          <w:tcPr>
            <w:tcW w:w="2441" w:type="dxa"/>
            <w:tcBorders>
              <w:left w:val="single" w:color="auto" w:sz="4" w:space="0"/>
            </w:tcBorders>
            <w:vAlign w:val="center"/>
          </w:tcPr>
          <w:p w14:paraId="6E25E9EC">
            <w:pPr>
              <w:pStyle w:val="235"/>
              <w:ind w:firstLine="0" w:firstLineChars="0"/>
              <w:jc w:val="center"/>
              <w:rPr>
                <w:rFonts w:hint="eastAsia" w:ascii="Times New Roman"/>
                <w:sz w:val="18"/>
                <w:szCs w:val="18"/>
              </w:rPr>
            </w:pPr>
            <w:r>
              <w:rPr>
                <w:rFonts w:hint="eastAsia" w:ascii="Times New Roman"/>
                <w:sz w:val="18"/>
                <w:szCs w:val="18"/>
              </w:rPr>
              <w:t>秋分（9月2</w:t>
            </w:r>
            <w:r>
              <w:rPr>
                <w:rFonts w:ascii="Times New Roman"/>
                <w:sz w:val="18"/>
                <w:szCs w:val="18"/>
              </w:rPr>
              <w:t>3</w:t>
            </w:r>
            <w:r>
              <w:rPr>
                <w:rFonts w:hint="eastAsia" w:ascii="Times New Roman"/>
                <w:sz w:val="18"/>
                <w:szCs w:val="18"/>
              </w:rPr>
              <w:t>日）</w:t>
            </w:r>
          </w:p>
        </w:tc>
      </w:tr>
      <w:tr w14:paraId="062C4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536CC003">
            <w:pPr>
              <w:pStyle w:val="235"/>
              <w:ind w:firstLine="0" w:firstLineChars="0"/>
              <w:jc w:val="center"/>
              <w:rPr>
                <w:rFonts w:ascii="Times New Roman"/>
                <w:szCs w:val="18"/>
              </w:rPr>
            </w:pPr>
            <w:r>
              <w:rPr>
                <w:rFonts w:hint="eastAsia" w:ascii="Times New Roman"/>
                <w:sz w:val="18"/>
                <w:szCs w:val="18"/>
                <w:lang w:val="en-US" w:eastAsia="zh-CN"/>
              </w:rPr>
              <w:t>8</w:t>
            </w:r>
          </w:p>
        </w:tc>
        <w:tc>
          <w:tcPr>
            <w:tcW w:w="2436" w:type="dxa"/>
            <w:tcBorders>
              <w:right w:val="single" w:color="auto" w:sz="4" w:space="0"/>
            </w:tcBorders>
            <w:vAlign w:val="center"/>
          </w:tcPr>
          <w:p w14:paraId="7D8F5FFF">
            <w:pPr>
              <w:pStyle w:val="235"/>
              <w:ind w:firstLine="0" w:firstLineChars="0"/>
              <w:jc w:val="center"/>
              <w:rPr>
                <w:rFonts w:ascii="Times New Roman"/>
                <w:szCs w:val="18"/>
              </w:rPr>
            </w:pPr>
            <w:r>
              <w:rPr>
                <w:rFonts w:hint="eastAsia" w:ascii="Times New Roman"/>
                <w:sz w:val="18"/>
                <w:szCs w:val="18"/>
              </w:rPr>
              <w:t>清明（4月</w:t>
            </w:r>
            <w:r>
              <w:rPr>
                <w:rFonts w:ascii="Times New Roman"/>
                <w:sz w:val="18"/>
                <w:szCs w:val="18"/>
              </w:rPr>
              <w:t>5</w:t>
            </w:r>
            <w:r>
              <w:rPr>
                <w:rFonts w:hint="eastAsia" w:ascii="Times New Roman"/>
                <w:sz w:val="18"/>
                <w:szCs w:val="18"/>
              </w:rPr>
              <w:t>日）</w:t>
            </w:r>
          </w:p>
        </w:tc>
        <w:tc>
          <w:tcPr>
            <w:tcW w:w="768" w:type="dxa"/>
            <w:tcBorders>
              <w:left w:val="single" w:color="auto" w:sz="4" w:space="0"/>
              <w:right w:val="single" w:color="auto" w:sz="4" w:space="0"/>
            </w:tcBorders>
            <w:vAlign w:val="center"/>
          </w:tcPr>
          <w:p w14:paraId="7952AD1F">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20</w:t>
            </w:r>
          </w:p>
        </w:tc>
        <w:tc>
          <w:tcPr>
            <w:tcW w:w="2441" w:type="dxa"/>
            <w:tcBorders>
              <w:left w:val="single" w:color="auto" w:sz="4" w:space="0"/>
            </w:tcBorders>
            <w:vAlign w:val="center"/>
          </w:tcPr>
          <w:p w14:paraId="189E8ED3">
            <w:pPr>
              <w:pStyle w:val="235"/>
              <w:ind w:firstLine="0" w:firstLineChars="0"/>
              <w:jc w:val="center"/>
              <w:rPr>
                <w:rFonts w:hint="eastAsia" w:ascii="Times New Roman"/>
                <w:sz w:val="18"/>
                <w:szCs w:val="18"/>
              </w:rPr>
            </w:pPr>
            <w:r>
              <w:rPr>
                <w:rFonts w:hint="eastAsia" w:ascii="Times New Roman"/>
                <w:sz w:val="18"/>
                <w:szCs w:val="18"/>
              </w:rPr>
              <w:t>白露（9月7日）</w:t>
            </w:r>
          </w:p>
        </w:tc>
      </w:tr>
      <w:tr w14:paraId="0CAFA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1666CCB2">
            <w:pPr>
              <w:pStyle w:val="235"/>
              <w:ind w:firstLine="0" w:firstLineChars="0"/>
              <w:jc w:val="center"/>
              <w:rPr>
                <w:rFonts w:ascii="Times New Roman"/>
                <w:szCs w:val="18"/>
              </w:rPr>
            </w:pPr>
            <w:r>
              <w:rPr>
                <w:rFonts w:hint="eastAsia" w:ascii="Times New Roman"/>
                <w:sz w:val="18"/>
                <w:szCs w:val="18"/>
                <w:lang w:val="en-US" w:eastAsia="zh-CN"/>
              </w:rPr>
              <w:t>9</w:t>
            </w:r>
          </w:p>
        </w:tc>
        <w:tc>
          <w:tcPr>
            <w:tcW w:w="2436" w:type="dxa"/>
            <w:tcBorders>
              <w:right w:val="single" w:color="auto" w:sz="4" w:space="0"/>
            </w:tcBorders>
            <w:vAlign w:val="center"/>
          </w:tcPr>
          <w:p w14:paraId="03D5E513">
            <w:pPr>
              <w:pStyle w:val="235"/>
              <w:ind w:firstLine="0" w:firstLineChars="0"/>
              <w:jc w:val="center"/>
              <w:rPr>
                <w:rFonts w:ascii="Times New Roman"/>
                <w:szCs w:val="18"/>
              </w:rPr>
            </w:pPr>
            <w:r>
              <w:rPr>
                <w:rFonts w:hint="eastAsia" w:ascii="Times New Roman"/>
                <w:sz w:val="18"/>
                <w:szCs w:val="18"/>
              </w:rPr>
              <w:t>谷雨（4月</w:t>
            </w:r>
            <w:r>
              <w:rPr>
                <w:rFonts w:ascii="Times New Roman"/>
                <w:sz w:val="18"/>
                <w:szCs w:val="18"/>
              </w:rPr>
              <w:t>20</w:t>
            </w:r>
            <w:r>
              <w:rPr>
                <w:rFonts w:hint="eastAsia" w:ascii="Times New Roman"/>
                <w:sz w:val="18"/>
                <w:szCs w:val="18"/>
              </w:rPr>
              <w:t>日）</w:t>
            </w:r>
          </w:p>
        </w:tc>
        <w:tc>
          <w:tcPr>
            <w:tcW w:w="768" w:type="dxa"/>
            <w:tcBorders>
              <w:left w:val="single" w:color="auto" w:sz="4" w:space="0"/>
              <w:right w:val="single" w:color="auto" w:sz="4" w:space="0"/>
            </w:tcBorders>
            <w:vAlign w:val="center"/>
          </w:tcPr>
          <w:p w14:paraId="0F0AE4B4">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21</w:t>
            </w:r>
          </w:p>
        </w:tc>
        <w:tc>
          <w:tcPr>
            <w:tcW w:w="2441" w:type="dxa"/>
            <w:tcBorders>
              <w:left w:val="single" w:color="auto" w:sz="4" w:space="0"/>
            </w:tcBorders>
            <w:vAlign w:val="center"/>
          </w:tcPr>
          <w:p w14:paraId="03347570">
            <w:pPr>
              <w:pStyle w:val="235"/>
              <w:ind w:firstLine="0" w:firstLineChars="0"/>
              <w:jc w:val="center"/>
              <w:rPr>
                <w:rFonts w:hint="eastAsia" w:ascii="Times New Roman"/>
                <w:sz w:val="18"/>
                <w:szCs w:val="18"/>
              </w:rPr>
            </w:pPr>
            <w:r>
              <w:rPr>
                <w:rFonts w:hint="eastAsia" w:ascii="Times New Roman"/>
                <w:sz w:val="18"/>
                <w:szCs w:val="18"/>
              </w:rPr>
              <w:t>处暑（8月2</w:t>
            </w:r>
            <w:r>
              <w:rPr>
                <w:rFonts w:ascii="Times New Roman"/>
                <w:sz w:val="18"/>
                <w:szCs w:val="18"/>
              </w:rPr>
              <w:t>3</w:t>
            </w:r>
            <w:r>
              <w:rPr>
                <w:rFonts w:hint="eastAsia" w:ascii="Times New Roman"/>
                <w:sz w:val="18"/>
                <w:szCs w:val="18"/>
              </w:rPr>
              <w:t>日）</w:t>
            </w:r>
          </w:p>
        </w:tc>
      </w:tr>
      <w:tr w14:paraId="3A8B4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769703B8">
            <w:pPr>
              <w:pStyle w:val="235"/>
              <w:ind w:firstLine="0" w:firstLineChars="0"/>
              <w:jc w:val="center"/>
              <w:rPr>
                <w:rFonts w:ascii="Times New Roman"/>
                <w:szCs w:val="18"/>
              </w:rPr>
            </w:pPr>
            <w:r>
              <w:rPr>
                <w:rFonts w:hint="eastAsia" w:ascii="Times New Roman"/>
                <w:sz w:val="18"/>
                <w:szCs w:val="18"/>
                <w:lang w:val="en-US" w:eastAsia="zh-CN"/>
              </w:rPr>
              <w:t>10</w:t>
            </w:r>
          </w:p>
        </w:tc>
        <w:tc>
          <w:tcPr>
            <w:tcW w:w="2436" w:type="dxa"/>
            <w:tcBorders>
              <w:right w:val="single" w:color="auto" w:sz="4" w:space="0"/>
            </w:tcBorders>
            <w:vAlign w:val="center"/>
          </w:tcPr>
          <w:p w14:paraId="558A35A2">
            <w:pPr>
              <w:pStyle w:val="235"/>
              <w:ind w:firstLine="0" w:firstLineChars="0"/>
              <w:jc w:val="center"/>
              <w:rPr>
                <w:rFonts w:ascii="Times New Roman"/>
                <w:szCs w:val="18"/>
              </w:rPr>
            </w:pPr>
            <w:r>
              <w:rPr>
                <w:rFonts w:hint="eastAsia" w:ascii="Times New Roman"/>
                <w:sz w:val="18"/>
                <w:szCs w:val="18"/>
              </w:rPr>
              <w:t>立夏（5月5日）</w:t>
            </w:r>
          </w:p>
        </w:tc>
        <w:tc>
          <w:tcPr>
            <w:tcW w:w="768" w:type="dxa"/>
            <w:tcBorders>
              <w:left w:val="single" w:color="auto" w:sz="4" w:space="0"/>
              <w:right w:val="single" w:color="auto" w:sz="4" w:space="0"/>
            </w:tcBorders>
            <w:vAlign w:val="center"/>
          </w:tcPr>
          <w:p w14:paraId="5D428C2F">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22</w:t>
            </w:r>
          </w:p>
        </w:tc>
        <w:tc>
          <w:tcPr>
            <w:tcW w:w="2441" w:type="dxa"/>
            <w:tcBorders>
              <w:left w:val="single" w:color="auto" w:sz="4" w:space="0"/>
            </w:tcBorders>
            <w:vAlign w:val="center"/>
          </w:tcPr>
          <w:p w14:paraId="481A7040">
            <w:pPr>
              <w:pStyle w:val="235"/>
              <w:ind w:firstLine="0" w:firstLineChars="0"/>
              <w:jc w:val="center"/>
              <w:rPr>
                <w:rFonts w:hint="eastAsia" w:ascii="Times New Roman"/>
                <w:sz w:val="18"/>
                <w:szCs w:val="18"/>
              </w:rPr>
            </w:pPr>
            <w:r>
              <w:rPr>
                <w:rFonts w:hint="eastAsia" w:ascii="Times New Roman"/>
                <w:sz w:val="18"/>
                <w:szCs w:val="18"/>
              </w:rPr>
              <w:t>立秋（8月7日）</w:t>
            </w:r>
          </w:p>
        </w:tc>
      </w:tr>
      <w:tr w14:paraId="1DF1E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38C8A8A4">
            <w:pPr>
              <w:pStyle w:val="235"/>
              <w:ind w:firstLine="0" w:firstLineChars="0"/>
              <w:jc w:val="center"/>
              <w:rPr>
                <w:rFonts w:ascii="Times New Roman"/>
                <w:szCs w:val="18"/>
              </w:rPr>
            </w:pPr>
            <w:r>
              <w:rPr>
                <w:rFonts w:hint="eastAsia" w:ascii="Times New Roman"/>
                <w:sz w:val="18"/>
                <w:szCs w:val="18"/>
                <w:lang w:val="en-US" w:eastAsia="zh-CN"/>
              </w:rPr>
              <w:t>11</w:t>
            </w:r>
          </w:p>
        </w:tc>
        <w:tc>
          <w:tcPr>
            <w:tcW w:w="2436" w:type="dxa"/>
            <w:tcBorders>
              <w:right w:val="single" w:color="auto" w:sz="4" w:space="0"/>
            </w:tcBorders>
            <w:vAlign w:val="center"/>
          </w:tcPr>
          <w:p w14:paraId="6010B33B">
            <w:pPr>
              <w:pStyle w:val="235"/>
              <w:ind w:firstLine="0" w:firstLineChars="0"/>
              <w:jc w:val="center"/>
              <w:rPr>
                <w:rFonts w:ascii="Times New Roman"/>
                <w:szCs w:val="18"/>
              </w:rPr>
            </w:pPr>
            <w:r>
              <w:rPr>
                <w:rFonts w:hint="eastAsia" w:ascii="Times New Roman"/>
                <w:sz w:val="18"/>
                <w:szCs w:val="18"/>
              </w:rPr>
              <w:t>小满（5月2</w:t>
            </w:r>
            <w:r>
              <w:rPr>
                <w:rFonts w:ascii="Times New Roman"/>
                <w:sz w:val="18"/>
                <w:szCs w:val="18"/>
              </w:rPr>
              <w:t>1</w:t>
            </w:r>
            <w:r>
              <w:rPr>
                <w:rFonts w:hint="eastAsia" w:ascii="Times New Roman"/>
                <w:sz w:val="18"/>
                <w:szCs w:val="18"/>
              </w:rPr>
              <w:t>日）</w:t>
            </w:r>
          </w:p>
        </w:tc>
        <w:tc>
          <w:tcPr>
            <w:tcW w:w="768" w:type="dxa"/>
            <w:tcBorders>
              <w:left w:val="single" w:color="auto" w:sz="4" w:space="0"/>
              <w:right w:val="single" w:color="auto" w:sz="4" w:space="0"/>
            </w:tcBorders>
            <w:vAlign w:val="center"/>
          </w:tcPr>
          <w:p w14:paraId="3CEFF44F">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23</w:t>
            </w:r>
          </w:p>
        </w:tc>
        <w:tc>
          <w:tcPr>
            <w:tcW w:w="2441" w:type="dxa"/>
            <w:tcBorders>
              <w:left w:val="single" w:color="auto" w:sz="4" w:space="0"/>
            </w:tcBorders>
            <w:vAlign w:val="center"/>
          </w:tcPr>
          <w:p w14:paraId="64984D62">
            <w:pPr>
              <w:pStyle w:val="235"/>
              <w:ind w:firstLine="0" w:firstLineChars="0"/>
              <w:jc w:val="center"/>
              <w:rPr>
                <w:rFonts w:hint="eastAsia" w:ascii="Times New Roman"/>
                <w:sz w:val="18"/>
                <w:szCs w:val="18"/>
              </w:rPr>
            </w:pPr>
            <w:r>
              <w:rPr>
                <w:rFonts w:hint="eastAsia" w:ascii="Times New Roman"/>
                <w:sz w:val="18"/>
                <w:szCs w:val="18"/>
              </w:rPr>
              <w:t>大暑（7月2</w:t>
            </w:r>
            <w:r>
              <w:rPr>
                <w:rFonts w:ascii="Times New Roman"/>
                <w:sz w:val="18"/>
                <w:szCs w:val="18"/>
              </w:rPr>
              <w:t>3</w:t>
            </w:r>
            <w:r>
              <w:rPr>
                <w:rFonts w:hint="eastAsia" w:ascii="Times New Roman"/>
                <w:sz w:val="18"/>
                <w:szCs w:val="18"/>
              </w:rPr>
              <w:t>日）</w:t>
            </w:r>
          </w:p>
        </w:tc>
      </w:tr>
      <w:tr w14:paraId="585E8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 w:type="dxa"/>
            <w:vAlign w:val="center"/>
          </w:tcPr>
          <w:p w14:paraId="3AD42707">
            <w:pPr>
              <w:pStyle w:val="235"/>
              <w:ind w:firstLine="0" w:firstLineChars="0"/>
              <w:jc w:val="center"/>
              <w:rPr>
                <w:rFonts w:ascii="Times New Roman"/>
                <w:szCs w:val="18"/>
              </w:rPr>
            </w:pPr>
            <w:r>
              <w:rPr>
                <w:rFonts w:hint="eastAsia" w:ascii="Times New Roman"/>
                <w:sz w:val="18"/>
                <w:szCs w:val="18"/>
                <w:lang w:val="en-US" w:eastAsia="zh-CN"/>
              </w:rPr>
              <w:t>12</w:t>
            </w:r>
          </w:p>
        </w:tc>
        <w:tc>
          <w:tcPr>
            <w:tcW w:w="2436" w:type="dxa"/>
            <w:tcBorders>
              <w:right w:val="single" w:color="auto" w:sz="4" w:space="0"/>
            </w:tcBorders>
            <w:vAlign w:val="center"/>
          </w:tcPr>
          <w:p w14:paraId="3CDA1752">
            <w:pPr>
              <w:pStyle w:val="235"/>
              <w:ind w:firstLine="0" w:firstLineChars="0"/>
              <w:jc w:val="center"/>
              <w:rPr>
                <w:rFonts w:ascii="Times New Roman"/>
                <w:szCs w:val="18"/>
              </w:rPr>
            </w:pPr>
            <w:r>
              <w:rPr>
                <w:rFonts w:hint="eastAsia" w:ascii="Times New Roman"/>
                <w:sz w:val="18"/>
                <w:szCs w:val="18"/>
              </w:rPr>
              <w:t>芒种（6月5日）或</w:t>
            </w:r>
          </w:p>
        </w:tc>
        <w:tc>
          <w:tcPr>
            <w:tcW w:w="768" w:type="dxa"/>
            <w:tcBorders>
              <w:left w:val="single" w:color="auto" w:sz="4" w:space="0"/>
              <w:right w:val="single" w:color="auto" w:sz="4" w:space="0"/>
            </w:tcBorders>
            <w:vAlign w:val="center"/>
          </w:tcPr>
          <w:p w14:paraId="51529E01">
            <w:pPr>
              <w:pStyle w:val="235"/>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24</w:t>
            </w:r>
          </w:p>
        </w:tc>
        <w:tc>
          <w:tcPr>
            <w:tcW w:w="2441" w:type="dxa"/>
            <w:tcBorders>
              <w:left w:val="single" w:color="auto" w:sz="4" w:space="0"/>
            </w:tcBorders>
            <w:vAlign w:val="center"/>
          </w:tcPr>
          <w:p w14:paraId="2AEB68AF">
            <w:pPr>
              <w:pStyle w:val="235"/>
              <w:ind w:firstLine="0" w:firstLineChars="0"/>
              <w:jc w:val="center"/>
              <w:rPr>
                <w:rFonts w:hint="eastAsia" w:ascii="Times New Roman"/>
                <w:sz w:val="18"/>
                <w:szCs w:val="18"/>
              </w:rPr>
            </w:pPr>
            <w:r>
              <w:rPr>
                <w:rFonts w:hint="eastAsia" w:ascii="Times New Roman"/>
                <w:sz w:val="18"/>
                <w:szCs w:val="18"/>
              </w:rPr>
              <w:t>小暑（7月</w:t>
            </w:r>
            <w:r>
              <w:rPr>
                <w:rFonts w:ascii="Times New Roman"/>
                <w:sz w:val="18"/>
                <w:szCs w:val="18"/>
              </w:rPr>
              <w:t>7</w:t>
            </w:r>
            <w:r>
              <w:rPr>
                <w:rFonts w:hint="eastAsia" w:ascii="Times New Roman"/>
                <w:sz w:val="18"/>
                <w:szCs w:val="18"/>
              </w:rPr>
              <w:t>日）</w:t>
            </w:r>
          </w:p>
        </w:tc>
      </w:tr>
    </w:tbl>
    <w:p w14:paraId="78A15435">
      <w:pPr>
        <w:pStyle w:val="60"/>
        <w:spacing w:line="360" w:lineRule="auto"/>
        <w:ind w:firstLine="420"/>
        <w:rPr>
          <w:rFonts w:ascii="Times New Roman"/>
        </w:rPr>
      </w:pPr>
      <w:r>
        <w:rPr>
          <w:rFonts w:hint="eastAsia" w:ascii="Times New Roman"/>
        </w:rPr>
        <w:t>B.3 玻璃幕墙反射光对</w:t>
      </w:r>
      <w:r>
        <w:rPr>
          <w:rFonts w:hint="eastAsia" w:ascii="Times New Roman"/>
          <w:lang w:val="en-US" w:eastAsia="zh-CN"/>
        </w:rPr>
        <w:t>敏感对象</w:t>
      </w:r>
      <w:r>
        <w:rPr>
          <w:rFonts w:hint="eastAsia" w:ascii="Times New Roman"/>
        </w:rPr>
        <w:t>的影响分析应选择日出后至日落前太阳高度角不低于10°的时段进行。</w:t>
      </w:r>
    </w:p>
    <w:p w14:paraId="60286831">
      <w:pPr>
        <w:pStyle w:val="60"/>
        <w:spacing w:line="360" w:lineRule="auto"/>
        <w:ind w:firstLine="420"/>
        <w:rPr>
          <w:rFonts w:ascii="Times New Roman"/>
        </w:rPr>
      </w:pPr>
      <w:r>
        <w:rPr>
          <w:rFonts w:hint="eastAsia" w:ascii="Times New Roman"/>
        </w:rPr>
        <w:t>B.4 敏感建筑计算时间间隔宜为1分钟，交通道路计算时间间隔宜为1秒钟，聚</w:t>
      </w:r>
      <w:r>
        <w:rPr>
          <w:rFonts w:hint="eastAsia" w:ascii="Times New Roman"/>
          <w:lang w:val="en-US" w:eastAsia="zh-CN"/>
        </w:rPr>
        <w:t>光</w:t>
      </w:r>
      <w:r>
        <w:rPr>
          <w:rFonts w:hint="eastAsia" w:ascii="Times New Roman"/>
        </w:rPr>
        <w:t>计算时间间隔宜为1分钟。</w:t>
      </w:r>
    </w:p>
    <w:p w14:paraId="4B4440CF">
      <w:pPr>
        <w:pStyle w:val="60"/>
        <w:spacing w:line="360" w:lineRule="auto"/>
        <w:ind w:firstLine="420"/>
        <w:rPr>
          <w:rFonts w:hint="eastAsia" w:ascii="Times New Roman"/>
        </w:rPr>
      </w:pPr>
      <w:r>
        <w:rPr>
          <w:rFonts w:hint="eastAsia" w:ascii="Times New Roman"/>
        </w:rPr>
        <w:t>B.</w:t>
      </w:r>
      <w:r>
        <w:rPr>
          <w:rFonts w:hint="eastAsia" w:ascii="Times New Roman"/>
          <w:lang w:val="en-US" w:eastAsia="zh-CN"/>
        </w:rPr>
        <w:t>5</w:t>
      </w:r>
      <w:r>
        <w:rPr>
          <w:rFonts w:hint="eastAsia" w:ascii="Times New Roman"/>
        </w:rPr>
        <w:t>需要进行反射光分析的房间应包括居住建筑的</w:t>
      </w:r>
      <w:r>
        <w:rPr>
          <w:rFonts w:hint="eastAsia" w:ascii="Times New Roman"/>
          <w:lang w:val="en-US" w:eastAsia="zh-CN"/>
        </w:rPr>
        <w:t>卧室和起居室</w:t>
      </w:r>
      <w:r>
        <w:rPr>
          <w:rFonts w:hint="eastAsia" w:ascii="Times New Roman"/>
          <w:lang w:eastAsia="zh-CN"/>
        </w:rPr>
        <w:t>，</w:t>
      </w:r>
      <w:r>
        <w:rPr>
          <w:rFonts w:hint="eastAsia" w:ascii="Times New Roman"/>
        </w:rPr>
        <w:t>医院病房</w:t>
      </w:r>
      <w:r>
        <w:rPr>
          <w:rFonts w:hint="eastAsia" w:ascii="Times New Roman"/>
          <w:lang w:eastAsia="zh-CN"/>
        </w:rPr>
        <w:t>，</w:t>
      </w:r>
      <w:r>
        <w:rPr>
          <w:rFonts w:hint="eastAsia" w:ascii="Times New Roman"/>
        </w:rPr>
        <w:t>中小学</w:t>
      </w:r>
      <w:r>
        <w:rPr>
          <w:rFonts w:hint="eastAsia" w:ascii="Times New Roman"/>
          <w:lang w:val="en-US" w:eastAsia="zh-CN"/>
        </w:rPr>
        <w:t>普通</w:t>
      </w:r>
      <w:r>
        <w:rPr>
          <w:rFonts w:hint="eastAsia" w:ascii="Times New Roman"/>
        </w:rPr>
        <w:t>教室，托儿所、幼儿园的生活活动</w:t>
      </w:r>
      <w:r>
        <w:rPr>
          <w:rFonts w:hint="eastAsia" w:ascii="Times New Roman"/>
          <w:lang w:val="en-US" w:eastAsia="zh-CN"/>
        </w:rPr>
        <w:t>用房</w:t>
      </w:r>
      <w:r>
        <w:rPr>
          <w:rFonts w:hint="eastAsia" w:ascii="Times New Roman"/>
        </w:rPr>
        <w:t>。</w:t>
      </w:r>
    </w:p>
    <w:p w14:paraId="09321238">
      <w:pPr>
        <w:pStyle w:val="60"/>
        <w:spacing w:line="360" w:lineRule="auto"/>
        <w:ind w:firstLine="420"/>
        <w:rPr>
          <w:rFonts w:ascii="Times New Roman"/>
        </w:rPr>
      </w:pPr>
      <w:r>
        <w:rPr>
          <w:rFonts w:hint="eastAsia" w:ascii="Times New Roman"/>
        </w:rPr>
        <w:t>B</w:t>
      </w:r>
      <w:r>
        <w:rPr>
          <w:rFonts w:hint="eastAsia" w:ascii="Times New Roman"/>
          <w:lang w:val="en-US" w:eastAsia="zh-CN"/>
        </w:rPr>
        <w:t>6</w:t>
      </w:r>
      <w:r>
        <w:rPr>
          <w:rFonts w:hint="eastAsia" w:ascii="Times New Roman"/>
        </w:rPr>
        <w:t xml:space="preserve"> 采样点间距应根据计算方法和计算区域合理确定，窗户宜取窗</w:t>
      </w:r>
      <w:r>
        <w:rPr>
          <w:rFonts w:hint="eastAsia" w:ascii="Times New Roman"/>
          <w:lang w:val="en-US" w:eastAsia="zh-CN"/>
        </w:rPr>
        <w:t>台</w:t>
      </w:r>
      <w:r>
        <w:rPr>
          <w:rFonts w:hint="eastAsia" w:ascii="Times New Roman"/>
        </w:rPr>
        <w:t>中点，建筑立面宜取0.5m~1.0m，道路宜取1.0m，场地宜取1.0m。</w:t>
      </w:r>
    </w:p>
    <w:p w14:paraId="37366639">
      <w:pPr>
        <w:pStyle w:val="60"/>
        <w:spacing w:line="360" w:lineRule="auto"/>
        <w:ind w:firstLine="420"/>
        <w:rPr>
          <w:rFonts w:hint="eastAsia" w:ascii="Times New Roman" w:eastAsia="宋体"/>
          <w:lang w:val="en-US" w:eastAsia="zh-CN"/>
        </w:rPr>
      </w:pPr>
      <w:r>
        <w:rPr>
          <w:rFonts w:hint="eastAsia" w:ascii="Times New Roman"/>
        </w:rPr>
        <w:t>B.</w:t>
      </w:r>
      <w:r>
        <w:rPr>
          <w:rFonts w:hint="eastAsia" w:ascii="Times New Roman"/>
          <w:lang w:val="en-US" w:eastAsia="zh-CN"/>
        </w:rPr>
        <w:t>7</w:t>
      </w:r>
      <w:r>
        <w:rPr>
          <w:rFonts w:hint="eastAsia" w:ascii="Times New Roman"/>
        </w:rPr>
        <w:t xml:space="preserve"> </w:t>
      </w:r>
      <w:r>
        <w:rPr>
          <w:rFonts w:hint="eastAsia" w:ascii="Times New Roman" w:hAnsi="Times New Roman" w:eastAsia="宋体" w:cs="Times New Roman"/>
          <w:color w:val="auto"/>
          <w:kern w:val="0"/>
          <w:sz w:val="21"/>
          <w:szCs w:val="20"/>
          <w:lang w:val="en-US" w:eastAsia="zh-CN" w:bidi="ar"/>
        </w:rPr>
        <w:t>道路</w:t>
      </w:r>
      <w:r>
        <w:rPr>
          <w:rFonts w:hint="eastAsia" w:ascii="Times New Roman" w:cs="Times New Roman"/>
          <w:kern w:val="0"/>
          <w:sz w:val="21"/>
          <w:szCs w:val="20"/>
          <w:lang w:val="en-US" w:eastAsia="zh-CN" w:bidi="ar"/>
        </w:rPr>
        <w:t>反射光计算</w:t>
      </w:r>
      <w:r>
        <w:rPr>
          <w:rFonts w:hint="eastAsia" w:ascii="Times New Roman" w:hAnsi="Times New Roman" w:eastAsia="宋体" w:cs="Times New Roman"/>
          <w:color w:val="auto"/>
          <w:kern w:val="0"/>
          <w:sz w:val="21"/>
          <w:szCs w:val="20"/>
          <w:lang w:val="en-US" w:eastAsia="zh-CN" w:bidi="ar"/>
        </w:rPr>
        <w:t>采样点宜按行车轨迹线取 1.50m 标高位置</w:t>
      </w:r>
      <w:r>
        <w:rPr>
          <w:rFonts w:hint="eastAsia" w:ascii="Times New Roman" w:cs="Times New Roman"/>
          <w:kern w:val="0"/>
          <w:sz w:val="21"/>
          <w:szCs w:val="20"/>
          <w:lang w:val="en-US" w:eastAsia="zh-CN" w:bidi="ar"/>
        </w:rPr>
        <w:t>。</w:t>
      </w:r>
    </w:p>
    <w:p w14:paraId="32F34EC7">
      <w:pPr>
        <w:pStyle w:val="60"/>
        <w:spacing w:line="360" w:lineRule="auto"/>
        <w:ind w:firstLine="420"/>
        <w:rPr>
          <w:rFonts w:ascii="Times New Roman"/>
        </w:rPr>
      </w:pPr>
      <w:r>
        <w:rPr>
          <w:rFonts w:hint="eastAsia" w:ascii="Times New Roman"/>
        </w:rPr>
        <w:t>B.</w:t>
      </w:r>
      <w:r>
        <w:rPr>
          <w:rFonts w:hint="eastAsia" w:ascii="Times New Roman"/>
          <w:lang w:val="en-US" w:eastAsia="zh-CN"/>
        </w:rPr>
        <w:t>8</w:t>
      </w:r>
      <w:r>
        <w:rPr>
          <w:rFonts w:hint="eastAsia" w:ascii="Times New Roman"/>
        </w:rPr>
        <w:t xml:space="preserve"> </w:t>
      </w:r>
      <w:r>
        <w:rPr>
          <w:rFonts w:hint="eastAsia" w:ascii="Times New Roman"/>
          <w:lang w:val="en-US" w:eastAsia="zh-CN"/>
        </w:rPr>
        <w:t>敏感建筑</w:t>
      </w:r>
      <w:r>
        <w:rPr>
          <w:rFonts w:hint="eastAsia" w:ascii="Times New Roman"/>
        </w:rPr>
        <w:t>反射光计算应以阳台、窗中线上距室内地坪高 0.9m 的位置为计算点，如图B.1所示。</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00"/>
      </w:tblGrid>
      <w:tr w14:paraId="2872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00" w:type="dxa"/>
            <w:tcBorders>
              <w:tl2br w:val="nil"/>
              <w:tr2bl w:val="nil"/>
            </w:tcBorders>
            <w:vAlign w:val="center"/>
          </w:tcPr>
          <w:p w14:paraId="095A4D57">
            <w:pPr>
              <w:pStyle w:val="60"/>
              <w:spacing w:line="360" w:lineRule="auto"/>
              <w:ind w:firstLine="420"/>
              <w:jc w:val="center"/>
              <w:rPr>
                <w:rFonts w:ascii="Times New Roman"/>
              </w:rPr>
            </w:pPr>
            <w:r>
              <w:rPr>
                <w:rFonts w:hint="eastAsia"/>
              </w:rPr>
              <w:drawing>
                <wp:inline distT="0" distB="0" distL="114300" distR="114300">
                  <wp:extent cx="4656455" cy="1696720"/>
                  <wp:effectExtent l="0" t="0" r="6985" b="10160"/>
                  <wp:docPr id="11" name="图片 11" descr="C:\Users\maihu\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maihu\Desktop\图片1.png图片1"/>
                          <pic:cNvPicPr>
                            <a:picLocks noChangeAspect="1"/>
                          </pic:cNvPicPr>
                        </pic:nvPicPr>
                        <pic:blipFill>
                          <a:blip r:embed="rId43">
                            <a:grayscl/>
                            <a:lum bright="-12000" contrast="42000"/>
                          </a:blip>
                          <a:srcRect t="1894" b="1439"/>
                          <a:stretch>
                            <a:fillRect/>
                          </a:stretch>
                        </pic:blipFill>
                        <pic:spPr>
                          <a:xfrm>
                            <a:off x="0" y="0"/>
                            <a:ext cx="4656455" cy="1696720"/>
                          </a:xfrm>
                          <a:prstGeom prst="rect">
                            <a:avLst/>
                          </a:prstGeom>
                        </pic:spPr>
                      </pic:pic>
                    </a:graphicData>
                  </a:graphic>
                </wp:inline>
              </w:drawing>
            </w:r>
          </w:p>
          <w:p w14:paraId="3AC7A4BF">
            <w:pPr>
              <w:pStyle w:val="13"/>
              <w:spacing w:line="240" w:lineRule="auto"/>
              <w:jc w:val="center"/>
              <w:rPr>
                <w:rFonts w:ascii="宋体" w:hAnsi="宋体" w:eastAsia="宋体"/>
                <w:sz w:val="18"/>
                <w:szCs w:val="18"/>
                <w:lang w:eastAsia="zh-CN"/>
              </w:rPr>
            </w:pPr>
            <w:r>
              <w:rPr>
                <w:rFonts w:ascii="宋体" w:hAnsi="宋体" w:eastAsia="宋体"/>
                <w:sz w:val="18"/>
                <w:szCs w:val="18"/>
                <w:lang w:eastAsia="zh-CN"/>
              </w:rPr>
              <w:t>1—</w:t>
            </w:r>
            <w:r>
              <w:rPr>
                <w:rFonts w:hint="eastAsia" w:ascii="宋体" w:hAnsi="宋体" w:eastAsia="宋体"/>
                <w:sz w:val="18"/>
                <w:szCs w:val="18"/>
                <w:lang w:eastAsia="zh-CN"/>
              </w:rPr>
              <w:t>反射光路径</w:t>
            </w:r>
            <w:r>
              <w:rPr>
                <w:rFonts w:ascii="宋体" w:hAnsi="宋体" w:eastAsia="宋体"/>
                <w:sz w:val="18"/>
                <w:szCs w:val="18"/>
                <w:lang w:eastAsia="zh-CN"/>
              </w:rPr>
              <w:t>；2—</w:t>
            </w:r>
            <w:r>
              <w:rPr>
                <w:rFonts w:hint="eastAsia" w:ascii="宋体" w:hAnsi="宋体" w:eastAsia="宋体"/>
                <w:sz w:val="18"/>
                <w:szCs w:val="18"/>
                <w:lang w:eastAsia="zh-CN"/>
              </w:rPr>
              <w:t>采样点</w:t>
            </w:r>
          </w:p>
          <w:p w14:paraId="526F3039">
            <w:pPr>
              <w:pStyle w:val="60"/>
              <w:jc w:val="center"/>
              <w:rPr>
                <w:rFonts w:ascii="Times New Roman"/>
                <w:lang w:bidi="ar"/>
              </w:rPr>
            </w:pPr>
            <w:r>
              <w:rPr>
                <w:rFonts w:ascii="Times New Roman" w:hAnsi="Times New Roman" w:eastAsia="宋体"/>
                <w:color w:val="auto"/>
                <w:lang w:eastAsia="zh-CN" w:bidi="ar"/>
              </w:rPr>
              <w:t>图B.1　普通窗、落地窗和凸窗的采样点</w:t>
            </w:r>
          </w:p>
        </w:tc>
      </w:tr>
      <w:tr w14:paraId="71BE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00" w:type="dxa"/>
            <w:tcBorders>
              <w:tl2br w:val="nil"/>
              <w:tr2bl w:val="nil"/>
            </w:tcBorders>
            <w:vAlign w:val="center"/>
          </w:tcPr>
          <w:p w14:paraId="30CF676E">
            <w:pPr>
              <w:pStyle w:val="60"/>
              <w:spacing w:line="360" w:lineRule="auto"/>
              <w:ind w:firstLine="360"/>
              <w:jc w:val="center"/>
              <w:rPr>
                <w:rFonts w:ascii="Times New Roman"/>
              </w:rPr>
            </w:pPr>
            <w:r>
              <w:rPr>
                <w:rFonts w:hint="eastAsia"/>
                <w:sz w:val="18"/>
                <w:szCs w:val="18"/>
              </w:rPr>
              <w:drawing>
                <wp:inline distT="0" distB="0" distL="114300" distR="114300">
                  <wp:extent cx="4386580" cy="1174750"/>
                  <wp:effectExtent l="0" t="0" r="2540" b="13970"/>
                  <wp:docPr id="14" name="图片 14" descr="C:\Users\maihu\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maihu\Desktop\图片2.png图片2"/>
                          <pic:cNvPicPr>
                            <a:picLocks noChangeAspect="1"/>
                          </pic:cNvPicPr>
                        </pic:nvPicPr>
                        <pic:blipFill>
                          <a:blip r:embed="rId44">
                            <a:lum bright="6000"/>
                          </a:blip>
                          <a:srcRect t="4505"/>
                          <a:stretch>
                            <a:fillRect/>
                          </a:stretch>
                        </pic:blipFill>
                        <pic:spPr>
                          <a:xfrm>
                            <a:off x="0" y="0"/>
                            <a:ext cx="4451133" cy="1192117"/>
                          </a:xfrm>
                          <a:prstGeom prst="rect">
                            <a:avLst/>
                          </a:prstGeom>
                        </pic:spPr>
                      </pic:pic>
                    </a:graphicData>
                  </a:graphic>
                </wp:inline>
              </w:drawing>
            </w:r>
          </w:p>
          <w:p w14:paraId="4214CE80">
            <w:pPr>
              <w:spacing w:line="360" w:lineRule="auto"/>
              <w:jc w:val="center"/>
              <w:rPr>
                <w:rFonts w:ascii="宋体" w:hAnsi="宋体"/>
                <w:color w:val="000000"/>
                <w:kern w:val="0"/>
                <w:sz w:val="18"/>
                <w:szCs w:val="18"/>
                <w:lang w:bidi="en-US"/>
              </w:rPr>
            </w:pPr>
            <w:r>
              <w:rPr>
                <w:rFonts w:hint="eastAsia" w:ascii="宋体" w:hAnsi="宋体"/>
                <w:color w:val="000000"/>
                <w:kern w:val="0"/>
                <w:sz w:val="18"/>
                <w:szCs w:val="18"/>
                <w:lang w:bidi="en-US"/>
              </w:rPr>
              <w:t>（a）直角转角窗　　　　　　　　　　　　 （b）弧形转角窗</w:t>
            </w:r>
          </w:p>
          <w:p w14:paraId="3342D56C">
            <w:pPr>
              <w:pStyle w:val="13"/>
              <w:spacing w:line="240" w:lineRule="auto"/>
              <w:jc w:val="center"/>
              <w:rPr>
                <w:rFonts w:ascii="宋体" w:hAnsi="宋体" w:eastAsia="宋体"/>
                <w:sz w:val="18"/>
                <w:szCs w:val="18"/>
                <w:lang w:eastAsia="zh-CN"/>
              </w:rPr>
            </w:pPr>
            <w:r>
              <w:rPr>
                <w:rFonts w:ascii="宋体" w:hAnsi="宋体" w:eastAsia="宋体"/>
                <w:sz w:val="18"/>
                <w:szCs w:val="18"/>
                <w:lang w:eastAsia="zh-CN"/>
              </w:rPr>
              <w:t>1—</w:t>
            </w:r>
            <w:r>
              <w:rPr>
                <w:rFonts w:hint="eastAsia" w:ascii="宋体" w:hAnsi="宋体" w:eastAsia="宋体"/>
                <w:sz w:val="18"/>
                <w:szCs w:val="18"/>
                <w:lang w:eastAsia="zh-CN"/>
              </w:rPr>
              <w:t>采样点</w:t>
            </w:r>
          </w:p>
          <w:p w14:paraId="260270AB">
            <w:pPr>
              <w:pStyle w:val="13"/>
              <w:spacing w:line="240" w:lineRule="auto"/>
              <w:jc w:val="center"/>
              <w:rPr>
                <w:rFonts w:ascii="Times New Roman" w:hAnsi="Times New Roman" w:eastAsia="宋体"/>
                <w:color w:val="auto"/>
                <w:lang w:eastAsia="zh-CN" w:bidi="ar"/>
              </w:rPr>
            </w:pPr>
            <w:r>
              <w:rPr>
                <w:rFonts w:ascii="Times New Roman" w:hAnsi="Times New Roman" w:eastAsia="宋体"/>
                <w:color w:val="auto"/>
                <w:lang w:eastAsia="zh-CN" w:bidi="ar"/>
              </w:rPr>
              <w:t>图B.2</w:t>
            </w:r>
            <w:r>
              <w:rPr>
                <w:rFonts w:hint="eastAsia" w:ascii="Times New Roman" w:hAnsi="Times New Roman" w:eastAsia="宋体"/>
                <w:color w:val="auto"/>
                <w:lang w:eastAsia="zh-CN" w:bidi="ar"/>
              </w:rPr>
              <w:t>　直角和弧形转角窗的采样点</w:t>
            </w:r>
          </w:p>
          <w:p w14:paraId="2ACFC54A">
            <w:pPr>
              <w:pStyle w:val="60"/>
              <w:jc w:val="both"/>
              <w:rPr>
                <w:rFonts w:hint="eastAsia" w:ascii="Times New Roman"/>
                <w:lang w:bidi="ar"/>
              </w:rPr>
            </w:pPr>
          </w:p>
        </w:tc>
      </w:tr>
    </w:tbl>
    <w:p w14:paraId="426895B0">
      <w:pPr>
        <w:pStyle w:val="60"/>
        <w:ind w:firstLine="420"/>
        <w:rPr>
          <w:rFonts w:ascii="Times New Roman"/>
          <w:lang w:bidi="ar"/>
        </w:rPr>
      </w:pPr>
    </w:p>
    <w:p w14:paraId="4143651E">
      <w:pPr>
        <w:pStyle w:val="60"/>
        <w:spacing w:line="360" w:lineRule="auto"/>
        <w:ind w:firstLine="420"/>
        <w:rPr>
          <w:rFonts w:ascii="Times New Roman"/>
          <w:lang w:bidi="ar"/>
        </w:rPr>
      </w:pPr>
      <w:r>
        <w:rPr>
          <w:rFonts w:hint="eastAsia" w:ascii="Times New Roman"/>
          <w:lang w:bidi="ar"/>
        </w:rPr>
        <w:t>B.</w:t>
      </w:r>
      <w:r>
        <w:rPr>
          <w:rFonts w:hint="eastAsia" w:ascii="Times New Roman"/>
          <w:lang w:val="en-US" w:eastAsia="zh-CN" w:bidi="ar"/>
        </w:rPr>
        <w:t>9 采用</w:t>
      </w:r>
      <w:r>
        <w:rPr>
          <w:rFonts w:hint="eastAsia" w:ascii="Times New Roman" w:hAnsi="Times New Roman" w:eastAsia="宋体"/>
          <w:color w:val="auto"/>
          <w:lang w:eastAsia="zh-CN" w:bidi="ar"/>
        </w:rPr>
        <w:t>直角和弧形转角窗</w:t>
      </w:r>
      <w:r>
        <w:rPr>
          <w:rFonts w:hint="eastAsia" w:ascii="Times New Roman"/>
          <w:lang w:bidi="ar"/>
        </w:rPr>
        <w:t>时，应按照图B.2所示确定计算点。</w:t>
      </w:r>
    </w:p>
    <w:p w14:paraId="518B041E">
      <w:pPr>
        <w:pStyle w:val="60"/>
        <w:spacing w:line="360" w:lineRule="auto"/>
        <w:ind w:firstLine="420"/>
        <w:rPr>
          <w:rFonts w:hint="eastAsia" w:ascii="Times New Roman"/>
          <w:lang w:val="en-US" w:eastAsia="zh-CN" w:bidi="ar"/>
        </w:rPr>
      </w:pPr>
      <w:r>
        <w:rPr>
          <w:rFonts w:hint="eastAsia" w:ascii="Times New Roman"/>
          <w:lang w:bidi="ar"/>
        </w:rPr>
        <w:t>B.</w:t>
      </w:r>
      <w:r>
        <w:rPr>
          <w:rFonts w:hint="eastAsia" w:ascii="Times New Roman"/>
          <w:lang w:val="en-US" w:eastAsia="zh-CN" w:bidi="ar"/>
        </w:rPr>
        <w:t>10</w:t>
      </w:r>
      <w:r>
        <w:rPr>
          <w:rFonts w:hint="eastAsia" w:ascii="Times New Roman"/>
          <w:lang w:bidi="ar"/>
        </w:rPr>
        <w:t xml:space="preserve"> </w:t>
      </w:r>
      <w:r>
        <w:rPr>
          <w:rFonts w:hint="eastAsia" w:ascii="Times New Roman"/>
          <w:lang w:val="en-US" w:eastAsia="zh-CN" w:bidi="ar"/>
        </w:rPr>
        <w:t>分析</w:t>
      </w:r>
      <w:r>
        <w:rPr>
          <w:rFonts w:hint="eastAsia" w:ascii="Times New Roman"/>
          <w:lang w:bidi="ar"/>
        </w:rPr>
        <w:t>反射光</w:t>
      </w:r>
      <w:r>
        <w:rPr>
          <w:rFonts w:hint="eastAsia" w:ascii="Times New Roman"/>
          <w:lang w:val="en-US" w:eastAsia="zh-CN" w:bidi="ar"/>
        </w:rPr>
        <w:t>聚光</w:t>
      </w:r>
      <w:r>
        <w:rPr>
          <w:rFonts w:hint="eastAsia" w:ascii="Times New Roman"/>
          <w:lang w:bidi="ar"/>
        </w:rPr>
        <w:t>的影响</w:t>
      </w:r>
      <w:r>
        <w:rPr>
          <w:rFonts w:hint="eastAsia" w:ascii="Times New Roman"/>
          <w:lang w:eastAsia="zh-CN" w:bidi="ar"/>
        </w:rPr>
        <w:t>，</w:t>
      </w:r>
      <w:r>
        <w:rPr>
          <w:rFonts w:hint="eastAsia" w:ascii="Times New Roman"/>
        </w:rPr>
        <w:t>聚焦点</w:t>
      </w:r>
      <w:r>
        <w:rPr>
          <w:rFonts w:hint="eastAsia" w:ascii="Times New Roman"/>
          <w:lang w:val="en-US" w:eastAsia="zh-CN"/>
        </w:rPr>
        <w:t>的</w:t>
      </w:r>
      <w:r>
        <w:rPr>
          <w:rFonts w:hint="eastAsia" w:ascii="Times New Roman"/>
          <w:lang w:val="en-US" w:eastAsia="zh-CN" w:bidi="ar"/>
        </w:rPr>
        <w:t>辐照度应根据式（B.1）计算：</w:t>
      </w:r>
    </w:p>
    <w:p w14:paraId="3D369F62">
      <w:pPr>
        <w:pStyle w:val="60"/>
        <w:spacing w:line="360" w:lineRule="auto"/>
        <w:ind w:firstLine="420"/>
        <w:jc w:val="center"/>
        <w:rPr>
          <w:rFonts w:hint="default" w:ascii="Times New Roman"/>
          <w:lang w:val="en-US" w:eastAsia="zh-CN" w:bidi="ar"/>
        </w:rPr>
      </w:pPr>
      <m:oMath>
        <m:r>
          <m:rPr>
            <m:sty m:val="p"/>
          </m:rPr>
          <w:rPr>
            <w:rFonts w:hint="eastAsia" w:ascii="Cambria Math" w:hAnsi="Cambria Math" w:cs="Times New Roman"/>
            <w:sz w:val="21"/>
            <w:lang w:val="en-US" w:eastAsia="zh-CN" w:bidi="ar"/>
          </w:rPr>
          <m:t>Q</m:t>
        </m:r>
        <m:r>
          <m:rPr>
            <m:sty m:val="p"/>
          </m:rPr>
          <w:rPr>
            <w:rFonts w:hint="default" w:ascii="Cambria Math" w:hAnsi="Cambria Math" w:cs="Times New Roman"/>
            <w:sz w:val="21"/>
            <w:lang w:val="en-US" w:eastAsia="zh-CN" w:bidi="ar"/>
          </w:rPr>
          <m:t>=</m:t>
        </m:r>
        <m:nary>
          <m:naryPr>
            <m:chr m:val="∑"/>
            <m:limLoc m:val="undOvr"/>
            <m:ctrlPr>
              <w:rPr>
                <w:rFonts w:hint="default" w:ascii="Cambria Math" w:hAnsi="Cambria Math" w:cs="Times New Roman"/>
                <w:sz w:val="21"/>
                <w:lang w:val="en-US" w:eastAsia="zh-CN" w:bidi="ar"/>
              </w:rPr>
            </m:ctrlPr>
          </m:naryPr>
          <m:sub>
            <m:r>
              <m:rPr>
                <m:sty m:val="p"/>
              </m:rPr>
              <w:rPr>
                <w:rFonts w:hint="default" w:ascii="Cambria Math" w:hAnsi="Cambria Math" w:cs="Times New Roman"/>
                <w:sz w:val="21"/>
                <w:lang w:val="en-US" w:eastAsia="zh-CN" w:bidi="ar"/>
              </w:rPr>
              <m:t>i=1</m:t>
            </m:r>
            <m:ctrlPr>
              <w:rPr>
                <w:rFonts w:hint="default" w:ascii="Cambria Math" w:hAnsi="Cambria Math" w:cs="Times New Roman"/>
                <w:sz w:val="21"/>
                <w:lang w:val="en-US" w:eastAsia="zh-CN" w:bidi="ar"/>
              </w:rPr>
            </m:ctrlPr>
          </m:sub>
          <m:sup>
            <m:r>
              <m:rPr>
                <m:sty m:val="p"/>
              </m:rPr>
              <w:rPr>
                <w:rFonts w:hint="default" w:ascii="Cambria Math" w:hAnsi="Cambria Math" w:cs="Times New Roman"/>
                <w:sz w:val="21"/>
                <w:lang w:val="en-US" w:eastAsia="zh-CN" w:bidi="ar"/>
              </w:rPr>
              <m:t>m</m:t>
            </m:r>
            <m:ctrlPr>
              <w:rPr>
                <w:rFonts w:hint="default" w:ascii="Cambria Math" w:hAnsi="Cambria Math" w:cs="Times New Roman"/>
                <w:sz w:val="21"/>
                <w:lang w:val="en-US" w:eastAsia="zh-CN" w:bidi="ar"/>
              </w:rPr>
            </m:ctrlPr>
          </m:sup>
          <m:e>
            <m:sSub>
              <m:sSubPr>
                <m:ctrlPr>
                  <w:rPr>
                    <w:rFonts w:hint="default" w:ascii="Cambria Math" w:hAnsi="Cambria Math" w:cs="Times New Roman"/>
                    <w:sz w:val="21"/>
                    <w:lang w:val="en-US" w:eastAsia="zh-CN" w:bidi="ar"/>
                  </w:rPr>
                </m:ctrlPr>
              </m:sSubPr>
              <m:e>
                <m:r>
                  <m:rPr>
                    <m:sty m:val="p"/>
                  </m:rPr>
                  <w:rPr>
                    <w:rFonts w:hint="default" w:ascii="Cambria Math" w:hAnsi="Cambria Math" w:cs="Times New Roman"/>
                    <w:sz w:val="21"/>
                    <w:lang w:val="en-US" w:eastAsia="zh-CN" w:bidi="ar"/>
                  </w:rPr>
                  <m:t>I</m:t>
                </m:r>
                <m:ctrlPr>
                  <w:rPr>
                    <w:rFonts w:hint="default" w:ascii="Cambria Math" w:hAnsi="Cambria Math" w:cs="Times New Roman"/>
                    <w:sz w:val="21"/>
                    <w:lang w:val="en-US" w:eastAsia="zh-CN" w:bidi="ar"/>
                  </w:rPr>
                </m:ctrlPr>
              </m:e>
              <m:sub>
                <m:r>
                  <m:rPr>
                    <m:sty m:val="p"/>
                  </m:rPr>
                  <w:rPr>
                    <w:rFonts w:hint="default" w:ascii="Cambria Math" w:hAnsi="Cambria Math" w:cs="Times New Roman"/>
                    <w:sz w:val="21"/>
                    <w:lang w:val="en-US" w:eastAsia="zh-CN" w:bidi="ar"/>
                  </w:rPr>
                  <m:t>0</m:t>
                </m:r>
                <m:ctrlPr>
                  <w:rPr>
                    <w:rFonts w:hint="default" w:ascii="Cambria Math" w:hAnsi="Cambria Math" w:cs="Times New Roman"/>
                    <w:sz w:val="21"/>
                    <w:lang w:val="en-US" w:eastAsia="zh-CN" w:bidi="ar"/>
                  </w:rPr>
                </m:ctrlPr>
              </m:sub>
            </m:sSub>
            <m:r>
              <m:rPr>
                <m:sty m:val="p"/>
              </m:rPr>
              <w:rPr>
                <w:rFonts w:ascii="Cambria Math" w:hAnsi="Cambria Math" w:cs="Times New Roman"/>
                <w:sz w:val="21"/>
                <w:lang w:val="en-US" w:bidi="ar"/>
              </w:rPr>
              <m:t>∙</m:t>
            </m:r>
            <m:sSub>
              <m:sSubPr>
                <m:ctrlPr>
                  <w:rPr>
                    <w:rFonts w:ascii="Cambria Math" w:hAnsi="Cambria Math" w:cs="Times New Roman"/>
                    <w:sz w:val="21"/>
                    <w:lang w:val="en-US" w:bidi="ar"/>
                  </w:rPr>
                </m:ctrlPr>
              </m:sSubPr>
              <m:e>
                <m:r>
                  <m:rPr>
                    <m:sty m:val="p"/>
                  </m:rPr>
                  <w:rPr>
                    <w:rFonts w:ascii="Cambria Math" w:hAnsi="Cambria Math" w:cs="Times New Roman"/>
                    <w:sz w:val="21"/>
                    <w:lang w:val="en-US" w:bidi="ar"/>
                  </w:rPr>
                  <m:t>ρ</m:t>
                </m:r>
                <m:ctrlPr>
                  <w:rPr>
                    <w:rFonts w:ascii="Cambria Math" w:hAnsi="Cambria Math" w:cs="Times New Roman"/>
                    <w:sz w:val="21"/>
                    <w:lang w:val="en-US" w:bidi="ar"/>
                  </w:rPr>
                </m:ctrlPr>
              </m:e>
              <m:sub>
                <m:r>
                  <m:rPr>
                    <m:sty m:val="p"/>
                  </m:rPr>
                  <w:rPr>
                    <w:rFonts w:hint="default" w:ascii="Cambria Math" w:hAnsi="Cambria Math" w:cs="Times New Roman"/>
                    <w:sz w:val="21"/>
                    <w:lang w:val="en-US" w:eastAsia="zh-CN" w:bidi="ar"/>
                  </w:rPr>
                  <m:t>i</m:t>
                </m:r>
                <m:ctrlPr>
                  <w:rPr>
                    <w:rFonts w:ascii="Cambria Math" w:hAnsi="Cambria Math" w:cs="Times New Roman"/>
                    <w:sz w:val="21"/>
                    <w:lang w:val="en-US" w:bidi="ar"/>
                  </w:rPr>
                </m:ctrlPr>
              </m:sub>
            </m:sSub>
            <m:r>
              <m:rPr>
                <m:sty m:val="p"/>
              </m:rPr>
              <w:rPr>
                <w:rFonts w:ascii="Cambria Math" w:hAnsi="Cambria Math" w:cs="Times New Roman"/>
                <w:sz w:val="21"/>
                <w:lang w:val="en-US" w:bidi="ar"/>
              </w:rPr>
              <m:t>∙</m:t>
            </m:r>
            <m:r>
              <m:rPr>
                <m:sty m:val="p"/>
              </m:rPr>
              <w:rPr>
                <w:rFonts w:hint="default" w:ascii="Cambria Math" w:hAnsi="Cambria Math" w:cs="Times New Roman"/>
                <w:sz w:val="21"/>
                <w:lang w:val="en-US" w:eastAsia="zh-CN" w:bidi="ar"/>
              </w:rPr>
              <m:t>cos</m:t>
            </m:r>
            <m:sSub>
              <m:sSubPr>
                <m:ctrlPr>
                  <w:rPr>
                    <w:rFonts w:hint="default" w:ascii="Cambria Math" w:hAnsi="Cambria Math" w:cs="Times New Roman"/>
                    <w:sz w:val="21"/>
                    <w:lang w:val="en-US" w:eastAsia="zh-CN" w:bidi="ar"/>
                  </w:rPr>
                </m:ctrlPr>
              </m:sSubPr>
              <m:e>
                <m:r>
                  <m:rPr>
                    <m:sty m:val="p"/>
                  </m:rPr>
                  <w:rPr>
                    <w:rFonts w:ascii="Cambria Math" w:hAnsi="Cambria Math" w:cs="Times New Roman"/>
                    <w:sz w:val="21"/>
                    <w:lang w:val="en-US" w:bidi="ar"/>
                  </w:rPr>
                  <m:t>θ</m:t>
                </m:r>
                <m:ctrlPr>
                  <w:rPr>
                    <w:rFonts w:hint="default" w:ascii="Cambria Math" w:hAnsi="Cambria Math" w:cs="Times New Roman"/>
                    <w:sz w:val="21"/>
                    <w:lang w:val="en-US" w:eastAsia="zh-CN" w:bidi="ar"/>
                  </w:rPr>
                </m:ctrlPr>
              </m:e>
              <m:sub>
                <m:r>
                  <m:rPr>
                    <m:sty m:val="p"/>
                  </m:rPr>
                  <w:rPr>
                    <w:rFonts w:hint="default" w:ascii="Cambria Math" w:hAnsi="Cambria Math" w:cs="Times New Roman"/>
                    <w:sz w:val="21"/>
                    <w:lang w:val="en-US" w:eastAsia="zh-CN" w:bidi="ar"/>
                  </w:rPr>
                  <m:t>i</m:t>
                </m:r>
                <m:ctrlPr>
                  <w:rPr>
                    <w:rFonts w:hint="default" w:ascii="Cambria Math" w:hAnsi="Cambria Math" w:cs="Times New Roman"/>
                    <w:sz w:val="21"/>
                    <w:lang w:val="en-US" w:eastAsia="zh-CN" w:bidi="ar"/>
                  </w:rPr>
                </m:ctrlPr>
              </m:sub>
            </m:sSub>
            <m:ctrlPr>
              <w:rPr>
                <w:rFonts w:hint="default" w:ascii="Cambria Math" w:hAnsi="Cambria Math" w:cs="Times New Roman"/>
                <w:sz w:val="21"/>
                <w:lang w:val="en-US" w:eastAsia="zh-CN" w:bidi="ar"/>
              </w:rPr>
            </m:ctrlPr>
          </m:e>
        </m:nary>
      </m:oMath>
      <w:r>
        <w:rPr>
          <w:rFonts w:hint="eastAsia" w:hAnsi="Cambria Math" w:cs="Times New Roman"/>
          <w:i w:val="0"/>
          <w:sz w:val="21"/>
          <w:lang w:val="en-US" w:eastAsia="zh-CN" w:bidi="ar"/>
        </w:rPr>
        <w:t xml:space="preserve">    （B.1）</w:t>
      </w:r>
    </w:p>
    <w:p w14:paraId="40812621">
      <w:pPr>
        <w:pStyle w:val="60"/>
        <w:ind w:firstLine="199" w:firstLineChars="95"/>
        <w:rPr>
          <w:rFonts w:hint="eastAsia" w:ascii="Times New Roman"/>
          <w:lang w:bidi="ar"/>
        </w:rPr>
      </w:pPr>
    </w:p>
    <w:p w14:paraId="48EF7C54">
      <w:pPr>
        <w:pStyle w:val="60"/>
        <w:ind w:left="0" w:leftChars="0" w:firstLine="0" w:firstLineChars="0"/>
        <w:rPr>
          <w:rFonts w:hint="eastAsia" w:ascii="Times New Roman"/>
          <w:lang w:val="en-US" w:eastAsia="zh-CN" w:bidi="ar"/>
        </w:rPr>
      </w:pPr>
      <w:r>
        <w:rPr>
          <w:rFonts w:hint="eastAsia" w:ascii="Times New Roman"/>
          <w:lang w:val="en-US" w:eastAsia="zh-CN" w:bidi="ar"/>
        </w:rPr>
        <w:t>式中：</w:t>
      </w:r>
    </w:p>
    <w:p w14:paraId="2CA81A54">
      <w:pPr>
        <w:pStyle w:val="60"/>
        <w:ind w:left="0" w:leftChars="0" w:firstLine="420" w:firstLineChars="200"/>
        <w:rPr>
          <w:rFonts w:hint="eastAsia" w:ascii="Times New Roman"/>
          <w:lang w:val="en-US" w:eastAsia="zh-CN" w:bidi="ar"/>
        </w:rPr>
      </w:pPr>
      <w:r>
        <w:rPr>
          <w:rFonts w:hint="eastAsia" w:ascii="Times New Roman"/>
          <w:i/>
          <w:iCs/>
          <w:lang w:val="en-US" w:eastAsia="zh-CN" w:bidi="ar"/>
        </w:rPr>
        <w:t>Q</w:t>
      </w:r>
      <w:r>
        <w:rPr>
          <w:rFonts w:hint="eastAsia" w:ascii="Times New Roman"/>
          <w:lang w:val="en-US" w:eastAsia="zh-CN" w:bidi="ar"/>
        </w:rPr>
        <w:t>——聚焦点的辐照度，单位为W/m</w:t>
      </w:r>
      <w:r>
        <w:rPr>
          <w:rFonts w:hint="eastAsia" w:ascii="Times New Roman"/>
          <w:vertAlign w:val="superscript"/>
          <w:lang w:val="en-US" w:eastAsia="zh-CN" w:bidi="ar"/>
        </w:rPr>
        <w:t>2</w:t>
      </w:r>
      <w:r>
        <w:rPr>
          <w:rFonts w:hint="eastAsia" w:ascii="Times New Roman"/>
          <w:lang w:val="en-US" w:eastAsia="zh-CN" w:bidi="ar"/>
        </w:rPr>
        <w:t>；</w:t>
      </w:r>
    </w:p>
    <w:p w14:paraId="514085FD">
      <w:pPr>
        <w:pStyle w:val="60"/>
        <w:ind w:left="0" w:leftChars="0" w:firstLine="420" w:firstLineChars="200"/>
        <w:rPr>
          <w:rFonts w:hint="eastAsia" w:ascii="Times New Roman"/>
          <w:lang w:val="en-US" w:eastAsia="zh-CN" w:bidi="ar"/>
        </w:rPr>
      </w:pPr>
      <w:r>
        <w:rPr>
          <w:rFonts w:hint="eastAsia" w:ascii="Times New Roman"/>
          <w:i/>
          <w:iCs/>
          <w:lang w:val="en-US" w:eastAsia="zh-CN" w:bidi="ar"/>
        </w:rPr>
        <w:t>I</w:t>
      </w:r>
      <w:r>
        <w:rPr>
          <w:rFonts w:hint="eastAsia" w:ascii="Times New Roman"/>
          <w:vertAlign w:val="subscript"/>
          <w:lang w:val="en-US" w:eastAsia="zh-CN" w:bidi="ar"/>
        </w:rPr>
        <w:t>0</w:t>
      </w:r>
      <w:r>
        <w:rPr>
          <w:rFonts w:hint="eastAsia" w:ascii="Times New Roman"/>
          <w:lang w:val="en-US" w:eastAsia="zh-CN" w:bidi="ar"/>
        </w:rPr>
        <w:t>——当前时刻的太阳直射辐照度，单位为W/m</w:t>
      </w:r>
      <w:r>
        <w:rPr>
          <w:rFonts w:hint="eastAsia" w:ascii="Times New Roman"/>
          <w:vertAlign w:val="superscript"/>
          <w:lang w:val="en-US" w:eastAsia="zh-CN" w:bidi="ar"/>
        </w:rPr>
        <w:t>2</w:t>
      </w:r>
      <w:r>
        <w:rPr>
          <w:rFonts w:hint="eastAsia" w:ascii="Times New Roman"/>
          <w:lang w:val="en-US" w:eastAsia="zh-CN" w:bidi="ar"/>
        </w:rPr>
        <w:t>；</w:t>
      </w:r>
    </w:p>
    <w:p w14:paraId="498399D3">
      <w:pPr>
        <w:pStyle w:val="60"/>
        <w:ind w:left="0" w:leftChars="0" w:firstLine="420" w:firstLineChars="200"/>
        <w:rPr>
          <w:rFonts w:hint="eastAsia" w:ascii="Times New Roman"/>
          <w:lang w:val="en-US" w:eastAsia="zh-CN" w:bidi="ar"/>
        </w:rPr>
      </w:pPr>
      <w:r>
        <w:rPr>
          <w:rFonts w:hint="eastAsia" w:ascii="宋体" w:hAnsi="宋体" w:eastAsia="宋体" w:cs="宋体"/>
          <w:lang w:val="en-US" w:eastAsia="zh-CN" w:bidi="ar"/>
        </w:rPr>
        <w:t>ρ</w:t>
      </w:r>
      <w:r>
        <w:rPr>
          <w:rFonts w:hint="eastAsia" w:hAnsi="宋体" w:cs="宋体"/>
          <w:vertAlign w:val="subscript"/>
          <w:lang w:val="en-US" w:eastAsia="zh-CN" w:bidi="ar"/>
        </w:rPr>
        <w:t>i</w:t>
      </w:r>
      <w:r>
        <w:rPr>
          <w:rFonts w:hint="eastAsia" w:ascii="Times New Roman"/>
          <w:lang w:val="en-US" w:eastAsia="zh-CN" w:bidi="ar"/>
        </w:rPr>
        <w:t>——反射光照射到聚焦点的第i块幕墙玻璃反射比；</w:t>
      </w:r>
    </w:p>
    <w:p w14:paraId="01532978">
      <w:pPr>
        <w:pStyle w:val="60"/>
        <w:ind w:left="0" w:leftChars="0" w:firstLine="420" w:firstLineChars="200"/>
        <w:rPr>
          <w:rFonts w:hint="default" w:ascii="Times New Roman"/>
          <w:lang w:val="en-US" w:eastAsia="zh-CN" w:bidi="ar"/>
        </w:rPr>
      </w:pPr>
      <w:r>
        <w:rPr>
          <w:rFonts w:hint="default" w:ascii="Arial" w:hAnsi="Arial" w:eastAsia="宋体" w:cs="Arial"/>
          <w:i/>
          <w:iCs/>
          <w:lang w:val="en-US" w:eastAsia="zh-CN" w:bidi="ar"/>
        </w:rPr>
        <w:t>θ</w:t>
      </w:r>
      <w:r>
        <w:rPr>
          <w:rFonts w:hint="eastAsia" w:hAnsi="宋体" w:cs="宋体"/>
          <w:vertAlign w:val="subscript"/>
          <w:lang w:val="en-US" w:eastAsia="zh-CN" w:bidi="ar"/>
        </w:rPr>
        <w:t>i</w:t>
      </w:r>
      <w:r>
        <w:rPr>
          <w:rFonts w:hint="eastAsia" w:ascii="Times New Roman"/>
          <w:lang w:val="en-US" w:eastAsia="zh-CN" w:bidi="ar"/>
        </w:rPr>
        <w:t>——反射光与聚焦点所在面法线的夹角。</w:t>
      </w:r>
    </w:p>
    <w:p w14:paraId="7177B5DC">
      <w:pPr>
        <w:pStyle w:val="60"/>
        <w:ind w:left="0" w:leftChars="0" w:firstLine="0" w:firstLineChars="0"/>
        <w:rPr>
          <w:rFonts w:hint="default" w:ascii="Times New Roman"/>
          <w:lang w:val="en-US" w:eastAsia="zh-CN" w:bidi="ar"/>
        </w:rPr>
      </w:pPr>
    </w:p>
    <w:p w14:paraId="48D6EDDF">
      <w:pPr>
        <w:pStyle w:val="60"/>
        <w:ind w:left="0" w:leftChars="0" w:firstLine="0" w:firstLineChars="0"/>
        <w:rPr>
          <w:rFonts w:hint="default" w:ascii="Times New Roman"/>
          <w:lang w:val="en-US" w:eastAsia="zh-CN" w:bidi="ar"/>
        </w:rPr>
        <w:sectPr>
          <w:headerReference r:id="rId25" w:type="default"/>
          <w:footerReference r:id="rId27" w:type="default"/>
          <w:headerReference r:id="rId26" w:type="even"/>
          <w:footerReference r:id="rId28" w:type="even"/>
          <w:pgSz w:w="11906" w:h="16838"/>
          <w:pgMar w:top="1871" w:right="1134" w:bottom="1134" w:left="1134" w:header="1418" w:footer="1134" w:gutter="284"/>
          <w:pgBorders>
            <w:top w:val="none" w:sz="0" w:space="0"/>
            <w:left w:val="none" w:sz="0" w:space="0"/>
            <w:bottom w:val="none" w:sz="0" w:space="0"/>
            <w:right w:val="none" w:sz="0" w:space="0"/>
          </w:pgBorders>
          <w:cols w:space="425" w:num="1"/>
          <w:formProt w:val="0"/>
          <w:docGrid w:type="lines" w:linePitch="312" w:charSpace="0"/>
        </w:sectPr>
      </w:pPr>
      <w:r>
        <w:rPr>
          <w:rFonts w:hint="eastAsia" w:ascii="Times New Roman"/>
          <w:lang w:val="en-US" w:eastAsia="zh-CN" w:bidi="ar"/>
        </w:rPr>
        <w:t xml:space="preserve"> </w:t>
      </w:r>
    </w:p>
    <w:p w14:paraId="78EB9515">
      <w:pPr>
        <w:pStyle w:val="60"/>
        <w:ind w:firstLine="0" w:firstLineChars="0"/>
        <w:rPr>
          <w:rFonts w:hint="eastAsia" w:ascii="Times New Roman"/>
          <w:lang w:bidi="ar"/>
        </w:rPr>
      </w:pPr>
    </w:p>
    <w:p w14:paraId="00C33454">
      <w:pPr>
        <w:pStyle w:val="249"/>
        <w:numPr>
          <w:ilvl w:val="0"/>
          <w:numId w:val="4"/>
        </w:numPr>
        <w:rPr>
          <w:rFonts w:ascii="Times New Roman"/>
        </w:rPr>
      </w:pPr>
      <w:bookmarkStart w:id="148" w:name="_Toc22447"/>
      <w:bookmarkStart w:id="149" w:name="_Toc180574532"/>
      <w:bookmarkStart w:id="150" w:name="_Toc25959"/>
      <w:r>
        <w:rPr>
          <w:rFonts w:ascii="Times New Roman"/>
        </w:rPr>
        <w:br w:type="textWrapping"/>
      </w:r>
      <w:r>
        <w:rPr>
          <w:rFonts w:hint="eastAsia" w:ascii="Times New Roman"/>
        </w:rPr>
        <w:t>（资料性）</w:t>
      </w:r>
      <w:r>
        <w:rPr>
          <w:rFonts w:ascii="Times New Roman"/>
        </w:rPr>
        <w:br w:type="textWrapping"/>
      </w:r>
      <w:r>
        <w:rPr>
          <w:rFonts w:hint="eastAsia" w:ascii="Times New Roman"/>
        </w:rPr>
        <w:t>视网膜辐照度计算及眩光判定</w:t>
      </w:r>
      <w:bookmarkEnd w:id="148"/>
      <w:bookmarkEnd w:id="149"/>
      <w:bookmarkEnd w:id="150"/>
    </w:p>
    <w:p w14:paraId="5BBB2AFE">
      <w:pPr>
        <w:rPr>
          <w:rFonts w:ascii="Times New Roman" w:hAnsi="Times New Roman"/>
          <w:b/>
        </w:rPr>
      </w:pPr>
      <w:r>
        <w:rPr>
          <w:rFonts w:hint="eastAsia" w:ascii="Times New Roman" w:hAnsi="Times New Roman"/>
          <w:b/>
        </w:rPr>
        <w:t>C</w:t>
      </w:r>
      <w:r>
        <w:rPr>
          <w:rFonts w:ascii="Times New Roman" w:hAnsi="Times New Roman"/>
          <w:b/>
        </w:rPr>
        <w:t>.1</w:t>
      </w:r>
      <w:r>
        <w:rPr>
          <w:rFonts w:hint="eastAsia" w:ascii="Times New Roman" w:hAnsi="Times New Roman"/>
          <w:bCs/>
        </w:rPr>
        <w:t>驾驶员视网膜辐照度应按下列公式进行计算：</w:t>
      </w:r>
    </w:p>
    <w:p w14:paraId="366D401F">
      <w:pPr>
        <w:spacing w:line="400" w:lineRule="atLeast"/>
        <w:jc w:val="center"/>
        <w:rPr>
          <w:rFonts w:ascii="Times New Roman" w:hAnsi="Times New Roman"/>
        </w:rPr>
      </w:pP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c</m:t>
            </m:r>
            <m:ctrlPr>
              <w:rPr>
                <w:rFonts w:ascii="Cambria Math" w:hAnsi="Cambria Math"/>
                <w:i/>
              </w:rPr>
            </m:ctrlPr>
          </m:sub>
        </m:sSub>
        <m:r>
          <m:rPr/>
          <w:rPr>
            <w:rFonts w:ascii="Cambria Math" w:hAnsi="Cambria Math"/>
          </w:rPr>
          <m:t>(</m:t>
        </m:r>
        <m:f>
          <m:fPr>
            <m:ctrlPr>
              <w:rPr>
                <w:rFonts w:ascii="Cambria Math" w:hAnsi="Cambria Math"/>
                <w:i/>
              </w:rPr>
            </m:ctrlPr>
          </m:fPr>
          <m:num>
            <m:sSubSup>
              <m:sSubSupPr>
                <m:ctrlPr>
                  <w:rPr>
                    <w:rFonts w:ascii="Cambria Math" w:hAnsi="Cambria Math"/>
                    <w:i/>
                  </w:rPr>
                </m:ctrlPr>
              </m:sSubSupPr>
              <m:e>
                <m:r>
                  <m:rPr/>
                  <w:rPr>
                    <w:rFonts w:ascii="Cambria Math" w:hAnsi="Cambria Math"/>
                  </w:rPr>
                  <m:t>d</m:t>
                </m:r>
                <m:ctrlPr>
                  <w:rPr>
                    <w:rFonts w:ascii="Cambria Math" w:hAnsi="Cambria Math"/>
                    <w:i/>
                  </w:rPr>
                </m:ctrlPr>
              </m:e>
              <m:sub>
                <m:r>
                  <m:rPr/>
                  <w:rPr>
                    <w:rFonts w:ascii="Cambria Math" w:hAnsi="Cambria Math"/>
                  </w:rPr>
                  <m:t>p</m:t>
                </m:r>
                <m:ctrlPr>
                  <w:rPr>
                    <w:rFonts w:ascii="Cambria Math" w:hAnsi="Cambria Math"/>
                    <w:i/>
                  </w:rPr>
                </m:ctrlPr>
              </m:sub>
              <m:sup>
                <m:r>
                  <m:rPr/>
                  <w:rPr>
                    <w:rFonts w:ascii="Cambria Math" w:hAnsi="Cambria Math"/>
                  </w:rPr>
                  <m:t>2</m:t>
                </m:r>
                <m:ctrlPr>
                  <w:rPr>
                    <w:rFonts w:ascii="Cambria Math" w:hAnsi="Cambria Math"/>
                    <w:i/>
                  </w:rPr>
                </m:ctrlPr>
              </m:sup>
            </m:sSubSup>
            <m:ctrlPr>
              <w:rPr>
                <w:rFonts w:ascii="Cambria Math" w:hAnsi="Cambria Math"/>
                <w:i/>
              </w:rPr>
            </m:ctrlPr>
          </m:num>
          <m:den>
            <m:sSubSup>
              <m:sSubSupPr>
                <m:ctrlPr>
                  <w:rPr>
                    <w:rFonts w:ascii="Cambria Math" w:hAnsi="Cambria Math"/>
                    <w:i/>
                  </w:rPr>
                </m:ctrlPr>
              </m:sSubSupPr>
              <m:e>
                <m:r>
                  <m:rPr/>
                  <w:rPr>
                    <w:rFonts w:ascii="Cambria Math" w:hAnsi="Cambria Math"/>
                  </w:rPr>
                  <m:t>d</m:t>
                </m:r>
                <m:ctrlPr>
                  <w:rPr>
                    <w:rFonts w:ascii="Cambria Math" w:hAnsi="Cambria Math"/>
                    <w:i/>
                  </w:rPr>
                </m:ctrlPr>
              </m:e>
              <m:sub>
                <m:r>
                  <m:rPr/>
                  <w:rPr>
                    <w:rFonts w:ascii="Cambria Math" w:hAnsi="Cambria Math"/>
                  </w:rPr>
                  <m:t>r</m:t>
                </m:r>
                <m:ctrlPr>
                  <w:rPr>
                    <w:rFonts w:ascii="Cambria Math" w:hAnsi="Cambria Math"/>
                    <w:i/>
                  </w:rPr>
                </m:ctrlPr>
              </m:sub>
              <m:sup>
                <m:r>
                  <m:rPr/>
                  <w:rPr>
                    <w:rFonts w:ascii="Cambria Math" w:hAnsi="Cambria Math"/>
                  </w:rPr>
                  <m:t>2</m:t>
                </m:r>
                <m:ctrlPr>
                  <w:rPr>
                    <w:rFonts w:ascii="Cambria Math" w:hAnsi="Cambria Math"/>
                    <w:i/>
                  </w:rPr>
                </m:ctrlPr>
              </m:sup>
            </m:sSubSup>
            <m:ctrlPr>
              <w:rPr>
                <w:rFonts w:ascii="Cambria Math" w:hAnsi="Cambria Math"/>
                <w:i/>
              </w:rPr>
            </m:ctrlPr>
          </m:den>
        </m:f>
        <m:r>
          <m:rPr/>
          <w:rPr>
            <w:rFonts w:ascii="Cambria Math" w:hAnsi="Cambria Math"/>
          </w:rPr>
          <m:t>)</m:t>
        </m:r>
      </m:oMath>
      <w:r>
        <w:rPr>
          <w:rStyle w:val="36"/>
          <w:rFonts w:hint="eastAsia"/>
        </w:rPr>
        <w:t xml:space="preserve">  </w:t>
      </w:r>
      <w:r>
        <w:rPr>
          <w:rFonts w:hint="eastAsia"/>
        </w:rPr>
        <w:t>（C.1）</w:t>
      </w:r>
    </w:p>
    <w:p w14:paraId="1841AF25">
      <w:pPr>
        <w:spacing w:line="400" w:lineRule="atLeast"/>
        <w:jc w:val="center"/>
        <w:rPr>
          <w:rFonts w:ascii="Times New Roman" w:hAnsi="Times New Roman"/>
        </w:rPr>
      </w:pPr>
      <m:oMath>
        <m:sSub>
          <m:sSubPr>
            <m:ctrlPr>
              <w:rPr>
                <w:rFonts w:ascii="Cambria Math" w:hAnsi="Cambria Math"/>
                <w:i/>
              </w:rPr>
            </m:ctrlPr>
          </m:sSubPr>
          <m:e>
            <m:r>
              <m:rPr/>
              <w:rPr>
                <w:rFonts w:hint="eastAsia" w:ascii="Cambria Math" w:hAnsi="Cambria Math"/>
              </w:rPr>
              <m:t>d</m:t>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rPr>
          <m:t>=f∙ω</m:t>
        </m:r>
      </m:oMath>
      <w:r>
        <w:rPr>
          <w:rStyle w:val="36"/>
          <w:rFonts w:hint="eastAsia"/>
        </w:rPr>
        <w:t xml:space="preserve">  </w:t>
      </w:r>
      <w:r>
        <w:rPr>
          <w:rFonts w:hint="eastAsia"/>
        </w:rPr>
        <w:t>（C.2）</w:t>
      </w:r>
    </w:p>
    <w:p w14:paraId="2AE8D5AA">
      <w:pPr>
        <w:spacing w:line="400" w:lineRule="atLeast"/>
        <w:jc w:val="center"/>
        <w:rPr>
          <w:rFonts w:ascii="Times New Roman" w:hAnsi="Times New Roman"/>
        </w:rPr>
      </w:pPr>
      <m:oMath>
        <m:r>
          <m:rPr/>
          <w:rPr>
            <w:rFonts w:ascii="Cambria Math" w:hAnsi="Cambria Math"/>
          </w:rPr>
          <m:t>ω=</m:t>
        </m:r>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s</m:t>
            </m:r>
            <m:ctrlPr>
              <w:rPr>
                <w:rFonts w:ascii="Cambria Math" w:hAnsi="Cambria Math"/>
                <w:i/>
              </w:rPr>
            </m:ctrlPr>
          </m:sub>
        </m:sSub>
        <m:r>
          <m:rPr/>
          <w:rPr>
            <w:rFonts w:ascii="Cambria Math" w:hAnsi="Cambria Math"/>
          </w:rPr>
          <m:t>/s</m:t>
        </m:r>
      </m:oMath>
      <w:r>
        <w:rPr>
          <w:rStyle w:val="36"/>
          <w:rFonts w:hint="eastAsia"/>
        </w:rPr>
        <w:t xml:space="preserve">  </w:t>
      </w:r>
      <w:r>
        <w:rPr>
          <w:rFonts w:hint="eastAsia"/>
        </w:rPr>
        <w:t>（C.3）</w:t>
      </w:r>
    </w:p>
    <w:p w14:paraId="4159AF94">
      <w:pPr>
        <w:spacing w:line="400" w:lineRule="atLeast"/>
        <w:rPr>
          <w:rFonts w:ascii="Times New Roman" w:hAnsi="Times New Roman"/>
        </w:rPr>
      </w:pPr>
      <w:r>
        <w:rPr>
          <w:rFonts w:hint="eastAsia" w:ascii="Times New Roman" w:hAnsi="Times New Roman"/>
        </w:rPr>
        <w:t>式中：</w:t>
      </w:r>
    </w:p>
    <w:p w14:paraId="28B18BEC">
      <w:pPr>
        <w:spacing w:line="400" w:lineRule="atLeast"/>
        <w:rPr>
          <w:rFonts w:ascii="Times New Roman" w:hAnsi="Times New Roman"/>
        </w:rPr>
      </w:pPr>
      <w:r>
        <w:rPr>
          <w:rFonts w:ascii="Times New Roman" w:hAnsi="Times New Roman"/>
        </w:rPr>
        <w:tab/>
      </w:r>
      <w:r>
        <w:rPr>
          <w:rFonts w:hint="eastAsia" w:ascii="Times New Roman" w:hAnsi="Times New Roman"/>
          <w:i/>
          <w:iCs/>
        </w:rPr>
        <w:t>E</w:t>
      </w:r>
      <w:r>
        <w:rPr>
          <w:rFonts w:hint="eastAsia" w:ascii="Times New Roman" w:hAnsi="Times New Roman"/>
          <w:vertAlign w:val="subscript"/>
        </w:rPr>
        <w:t>r</w:t>
      </w:r>
      <w:r>
        <w:rPr>
          <w:rFonts w:hint="eastAsia" w:ascii="Times New Roman" w:hAnsi="Times New Roman"/>
        </w:rPr>
        <w:t>——视网膜辐照度，单位为瓦每平方厘米（W/cm</w:t>
      </w:r>
      <w:r>
        <w:rPr>
          <w:rFonts w:hint="eastAsia" w:ascii="Times New Roman" w:hAnsi="Times New Roman"/>
          <w:vertAlign w:val="superscript"/>
        </w:rPr>
        <w:t>2</w:t>
      </w:r>
      <w:r>
        <w:rPr>
          <w:rFonts w:hint="eastAsia" w:ascii="Times New Roman" w:hAnsi="Times New Roman"/>
        </w:rPr>
        <w:t>）；</w:t>
      </w:r>
    </w:p>
    <w:p w14:paraId="3E519754">
      <w:pPr>
        <w:spacing w:line="400" w:lineRule="atLeast"/>
        <w:rPr>
          <w:rFonts w:ascii="Times New Roman" w:hAnsi="Times New Roman"/>
        </w:rPr>
      </w:pPr>
      <w:r>
        <w:rPr>
          <w:rFonts w:ascii="Times New Roman" w:hAnsi="Times New Roman"/>
        </w:rPr>
        <w:tab/>
      </w:r>
      <w:r>
        <w:rPr>
          <w:rFonts w:hint="eastAsia" w:ascii="Times New Roman" w:hAnsi="Times New Roman"/>
          <w:i/>
          <w:iCs/>
        </w:rPr>
        <w:t>E</w:t>
      </w:r>
      <w:r>
        <w:rPr>
          <w:rFonts w:hint="eastAsia" w:ascii="Times New Roman" w:hAnsi="Times New Roman"/>
          <w:vertAlign w:val="subscript"/>
        </w:rPr>
        <w:t>c</w:t>
      </w:r>
      <w:r>
        <w:rPr>
          <w:rFonts w:hint="eastAsia" w:ascii="Times New Roman" w:hAnsi="Times New Roman"/>
        </w:rPr>
        <w:t>——眼睛表面受到的辐照度，单位为瓦每平方厘米（W/cm</w:t>
      </w:r>
      <w:r>
        <w:rPr>
          <w:rFonts w:hint="eastAsia" w:ascii="Times New Roman" w:hAnsi="Times New Roman"/>
          <w:vertAlign w:val="superscript"/>
        </w:rPr>
        <w:t>2</w:t>
      </w:r>
      <w:r>
        <w:rPr>
          <w:rFonts w:hint="eastAsia" w:ascii="Times New Roman" w:hAnsi="Times New Roman"/>
        </w:rPr>
        <w:t>）；</w:t>
      </w:r>
    </w:p>
    <w:p w14:paraId="5B274D00">
      <w:pPr>
        <w:spacing w:line="400" w:lineRule="atLeast"/>
        <w:rPr>
          <w:rFonts w:hint="eastAsia" w:ascii="Times New Roman" w:hAnsi="Times New Roman" w:eastAsia="宋体"/>
          <w:lang w:eastAsia="zh-CN"/>
        </w:rPr>
      </w:pPr>
      <w:r>
        <w:rPr>
          <w:rFonts w:ascii="Times New Roman" w:hAnsi="Times New Roman"/>
        </w:rPr>
        <w:tab/>
      </w:r>
      <w:r>
        <w:rPr>
          <w:rFonts w:hint="eastAsia" w:ascii="Times New Roman" w:hAnsi="Times New Roman"/>
          <w:i/>
          <w:iCs/>
        </w:rPr>
        <w:t>dp</w:t>
      </w:r>
      <w:r>
        <w:rPr>
          <w:rFonts w:hint="eastAsia" w:ascii="Times New Roman" w:hAnsi="Times New Roman"/>
        </w:rPr>
        <w:t>——瞳孔的直径，取0.002m</w:t>
      </w:r>
      <w:r>
        <w:rPr>
          <w:rFonts w:hint="eastAsia" w:ascii="Times New Roman" w:hAnsi="Times New Roman"/>
          <w:lang w:eastAsia="zh-CN"/>
        </w:rPr>
        <w:t>；</w:t>
      </w:r>
    </w:p>
    <w:p w14:paraId="0DC1F0E3">
      <w:pPr>
        <w:spacing w:line="400" w:lineRule="atLeast"/>
        <w:rPr>
          <w:rFonts w:hint="eastAsia" w:ascii="Times New Roman" w:hAnsi="Times New Roman" w:eastAsia="宋体"/>
          <w:lang w:eastAsia="zh-CN"/>
        </w:rPr>
      </w:pPr>
      <w:r>
        <w:rPr>
          <w:rFonts w:ascii="Times New Roman" w:hAnsi="Times New Roman"/>
        </w:rPr>
        <w:tab/>
      </w:r>
      <w:r>
        <w:rPr>
          <w:rFonts w:hint="eastAsia" w:ascii="Times New Roman" w:hAnsi="Times New Roman"/>
          <w:i/>
          <w:iCs/>
        </w:rPr>
        <w:t>dr</w:t>
      </w:r>
      <w:r>
        <w:rPr>
          <w:rFonts w:hint="eastAsia" w:ascii="Times New Roman" w:hAnsi="Times New Roman"/>
        </w:rPr>
        <w:t>——光源在视网膜上的像大小，单位为米（m）</w:t>
      </w:r>
      <w:r>
        <w:rPr>
          <w:rFonts w:hint="eastAsia" w:ascii="Times New Roman" w:hAnsi="Times New Roman"/>
          <w:lang w:eastAsia="zh-CN"/>
        </w:rPr>
        <w:t>；</w:t>
      </w:r>
    </w:p>
    <w:p w14:paraId="6442FFEA">
      <w:pPr>
        <w:spacing w:line="400" w:lineRule="atLeast"/>
        <w:rPr>
          <w:rFonts w:ascii="Times New Roman" w:hAnsi="Times New Roman"/>
        </w:rPr>
      </w:pPr>
      <w:r>
        <w:rPr>
          <w:rFonts w:ascii="Times New Roman" w:hAnsi="Times New Roman"/>
        </w:rPr>
        <w:tab/>
      </w:r>
      <w:r>
        <w:rPr>
          <w:rFonts w:hint="eastAsia" w:ascii="Times New Roman" w:hAnsi="Times New Roman"/>
          <w:i/>
          <w:iCs/>
        </w:rPr>
        <w:t>ds</w:t>
      </w:r>
      <w:r>
        <w:rPr>
          <w:rFonts w:hint="eastAsia" w:ascii="Times New Roman" w:hAnsi="Times New Roman"/>
        </w:rPr>
        <w:t>——光源的直径，单位为米（m）；</w:t>
      </w:r>
    </w:p>
    <w:p w14:paraId="7960B0D6">
      <w:pPr>
        <w:spacing w:line="400" w:lineRule="atLeast"/>
        <w:rPr>
          <w:rFonts w:ascii="Times New Roman" w:hAnsi="Times New Roman"/>
        </w:rPr>
      </w:pPr>
      <w:r>
        <w:rPr>
          <w:rFonts w:ascii="Times New Roman" w:hAnsi="Times New Roman"/>
        </w:rPr>
        <w:tab/>
      </w:r>
      <w:r>
        <w:rPr>
          <w:rFonts w:hint="eastAsia" w:ascii="Times New Roman" w:hAnsi="Times New Roman"/>
          <w:i/>
          <w:iCs/>
        </w:rPr>
        <w:t>s</w:t>
      </w:r>
      <w:r>
        <w:rPr>
          <w:rFonts w:hint="eastAsia" w:ascii="Times New Roman" w:hAnsi="Times New Roman"/>
        </w:rPr>
        <w:t>——光源距离</w:t>
      </w:r>
      <w:r>
        <w:rPr>
          <w:rFonts w:hint="eastAsia" w:ascii="Times New Roman" w:hAnsi="Times New Roman"/>
          <w:lang w:val="en-US" w:eastAsia="zh-CN"/>
        </w:rPr>
        <w:t>驾驶</w:t>
      </w:r>
      <w:r>
        <w:rPr>
          <w:rFonts w:hint="eastAsia" w:ascii="Times New Roman" w:hAnsi="Times New Roman"/>
        </w:rPr>
        <w:t>员的距离，单位为米（m）；</w:t>
      </w:r>
    </w:p>
    <w:p w14:paraId="0D6CF31D">
      <w:pPr>
        <w:spacing w:line="400" w:lineRule="atLeast"/>
        <w:rPr>
          <w:rFonts w:hint="eastAsia" w:ascii="Times New Roman" w:hAnsi="Times New Roman"/>
        </w:rPr>
      </w:pPr>
      <w:r>
        <w:rPr>
          <w:rFonts w:ascii="Times New Roman" w:hAnsi="Times New Roman"/>
        </w:rPr>
        <w:tab/>
      </w:r>
      <w:r>
        <w:rPr>
          <w:rFonts w:hint="eastAsia" w:ascii="Times New Roman" w:hAnsi="Times New Roman"/>
          <w:i/>
          <w:iCs/>
        </w:rPr>
        <w:t>f</w:t>
      </w:r>
      <w:r>
        <w:rPr>
          <w:rFonts w:hint="eastAsia" w:ascii="Times New Roman" w:hAnsi="Times New Roman"/>
        </w:rPr>
        <w:t>——眼睛的焦距，取0.017m；</w:t>
      </w:r>
    </w:p>
    <w:p w14:paraId="2B5235F4">
      <w:pPr>
        <w:spacing w:line="400" w:lineRule="atLeast"/>
        <w:ind w:firstLine="420" w:firstLineChars="200"/>
        <w:rPr>
          <w:rFonts w:hint="eastAsia" w:ascii="Times New Roman" w:hAnsi="Times New Roman" w:eastAsia="宋体"/>
          <w:lang w:eastAsia="zh-CN"/>
        </w:rPr>
      </w:pPr>
      <w:r>
        <w:rPr>
          <w:rFonts w:hint="eastAsia" w:ascii="Times New Roman" w:hAnsi="Times New Roman"/>
          <w:sz w:val="21"/>
          <w:szCs w:val="21"/>
        </w:rPr>
        <w:t>ω</w:t>
      </w:r>
      <w:r>
        <w:rPr>
          <w:rFonts w:hint="eastAsia" w:ascii="Times New Roman" w:hAnsi="Times New Roman"/>
        </w:rPr>
        <w:t>——</w:t>
      </w:r>
      <w:r>
        <w:rPr>
          <w:rFonts w:hint="eastAsia" w:ascii="Times New Roman" w:hAnsi="Times New Roman"/>
          <w:sz w:val="21"/>
          <w:szCs w:val="21"/>
        </w:rPr>
        <w:t>光源的立体角，单位为弧度rad</w:t>
      </w:r>
      <w:r>
        <w:rPr>
          <w:rFonts w:hint="eastAsia" w:ascii="Times New Roman" w:hAnsi="Times New Roman"/>
          <w:sz w:val="21"/>
          <w:szCs w:val="21"/>
          <w:lang w:eastAsia="zh-CN"/>
        </w:rPr>
        <w:t>；</w:t>
      </w:r>
    </w:p>
    <w:p w14:paraId="27B74C45">
      <w:pPr>
        <w:spacing w:line="400" w:lineRule="atLeast"/>
        <w:rPr>
          <w:rFonts w:ascii="Times New Roman" w:hAnsi="Times New Roman"/>
        </w:rPr>
      </w:pPr>
      <w:r>
        <w:rPr>
          <w:rFonts w:ascii="Times New Roman" w:hAnsi="Times New Roman"/>
        </w:rPr>
        <w:tab/>
      </w:r>
      <m:oMath>
        <m:r>
          <m:rPr/>
          <w:rPr>
            <w:rFonts w:ascii="Cambria Math" w:hAnsi="Cambria Math"/>
          </w:rPr>
          <m:t>τ</m:t>
        </m:r>
      </m:oMath>
      <w:r>
        <w:rPr>
          <w:rFonts w:hint="eastAsia" w:ascii="Times New Roman" w:hAnsi="Times New Roman"/>
        </w:rPr>
        <w:t>——眼睛的透射比，取0.5。</w:t>
      </w:r>
    </w:p>
    <w:p w14:paraId="3DF5B767">
      <w:pPr>
        <w:spacing w:line="400" w:lineRule="atLeast"/>
        <w:rPr>
          <w:rFonts w:ascii="Times New Roman" w:hAnsi="Times New Roman"/>
          <w:bCs/>
        </w:rPr>
      </w:pPr>
      <w:r>
        <w:rPr>
          <w:rFonts w:hint="eastAsia" w:ascii="Times New Roman" w:hAnsi="Times New Roman"/>
          <w:b/>
        </w:rPr>
        <w:t>C</w:t>
      </w:r>
      <w:r>
        <w:rPr>
          <w:rFonts w:ascii="Times New Roman" w:hAnsi="Times New Roman"/>
          <w:b/>
        </w:rPr>
        <w:t>.</w:t>
      </w:r>
      <w:r>
        <w:rPr>
          <w:rFonts w:hint="eastAsia" w:ascii="Times New Roman" w:hAnsi="Times New Roman"/>
          <w:b/>
        </w:rPr>
        <w:t xml:space="preserve">2 </w:t>
      </w:r>
      <w:r>
        <w:rPr>
          <w:rFonts w:hint="eastAsia" w:ascii="Times New Roman" w:hAnsi="Times New Roman"/>
          <w:bCs/>
        </w:rPr>
        <w:t>驾驶员受到玻璃幕墙反射光干扰的</w:t>
      </w:r>
      <w:r>
        <w:rPr>
          <w:rFonts w:hint="eastAsia" w:ascii="Times New Roman" w:hAnsi="Times New Roman"/>
          <w:bCs/>
          <w:lang w:val="en-US" w:eastAsia="zh-CN"/>
        </w:rPr>
        <w:t>情况</w:t>
      </w:r>
      <w:r>
        <w:rPr>
          <w:rFonts w:hint="eastAsia" w:ascii="Times New Roman" w:hAnsi="Times New Roman"/>
          <w:bCs/>
        </w:rPr>
        <w:t>可按表C.1判定。</w:t>
      </w:r>
    </w:p>
    <w:p w14:paraId="1689B713">
      <w:pPr>
        <w:spacing w:line="400" w:lineRule="atLeast"/>
        <w:jc w:val="center"/>
        <w:rPr>
          <w:rFonts w:ascii="黑体" w:hAnsi="黑体" w:eastAsia="黑体"/>
        </w:rPr>
      </w:pPr>
      <w:r>
        <w:rPr>
          <w:rFonts w:hint="eastAsia" w:ascii="黑体" w:hAnsi="黑体" w:eastAsia="黑体"/>
        </w:rPr>
        <w:t>表C.1 眩光</w:t>
      </w:r>
      <w:r>
        <w:rPr>
          <w:rFonts w:hint="eastAsia" w:ascii="黑体" w:hAnsi="黑体" w:eastAsia="黑体"/>
          <w:lang w:val="en-US" w:eastAsia="zh-CN"/>
        </w:rPr>
        <w:t>等级</w:t>
      </w:r>
      <w:r>
        <w:rPr>
          <w:rFonts w:hint="eastAsia" w:ascii="黑体" w:hAnsi="黑体" w:eastAsia="黑体"/>
        </w:rPr>
        <w:t>判定</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5213"/>
        <w:gridCol w:w="1836"/>
      </w:tblGrid>
      <w:tr w14:paraId="3F70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center"/>
          </w:tcPr>
          <w:p w14:paraId="3C410069">
            <w:pPr>
              <w:spacing w:line="240" w:lineRule="auto"/>
              <w:jc w:val="center"/>
              <w:rPr>
                <w:rFonts w:ascii="Times New Roman" w:hAnsi="Times New Roman"/>
                <w:sz w:val="18"/>
                <w:szCs w:val="18"/>
              </w:rPr>
            </w:pPr>
            <w:r>
              <w:rPr>
                <w:rFonts w:hint="eastAsia" w:ascii="Times New Roman" w:hAnsi="Times New Roman"/>
                <w:sz w:val="18"/>
                <w:szCs w:val="18"/>
                <w:lang w:val="en-US" w:eastAsia="zh-CN"/>
              </w:rPr>
              <w:t>判定</w:t>
            </w:r>
          </w:p>
        </w:tc>
        <w:tc>
          <w:tcPr>
            <w:tcW w:w="5213" w:type="dxa"/>
            <w:vAlign w:val="center"/>
          </w:tcPr>
          <w:p w14:paraId="24B991F0">
            <w:pPr>
              <w:spacing w:line="240" w:lineRule="auto"/>
              <w:jc w:val="center"/>
              <w:rPr>
                <w:rFonts w:ascii="Times New Roman" w:hAnsi="Times New Roman"/>
                <w:sz w:val="18"/>
                <w:szCs w:val="18"/>
              </w:rPr>
            </w:pPr>
            <w:r>
              <w:rPr>
                <w:rFonts w:hint="eastAsia" w:ascii="Times New Roman" w:hAnsi="Times New Roman"/>
                <w:sz w:val="18"/>
                <w:szCs w:val="18"/>
              </w:rPr>
              <w:t>描述</w:t>
            </w:r>
          </w:p>
        </w:tc>
        <w:tc>
          <w:tcPr>
            <w:tcW w:w="1836" w:type="dxa"/>
            <w:vAlign w:val="center"/>
          </w:tcPr>
          <w:p w14:paraId="7E207D33">
            <w:pPr>
              <w:spacing w:line="240" w:lineRule="auto"/>
              <w:jc w:val="center"/>
              <w:rPr>
                <w:rFonts w:ascii="Times New Roman" w:hAnsi="Times New Roman"/>
                <w:sz w:val="18"/>
                <w:szCs w:val="18"/>
              </w:rPr>
            </w:pPr>
            <w:r>
              <w:rPr>
                <w:rFonts w:hint="eastAsia" w:ascii="Times New Roman" w:hAnsi="Times New Roman"/>
                <w:sz w:val="18"/>
                <w:szCs w:val="18"/>
                <w:lang w:val="en-US" w:eastAsia="zh-CN"/>
              </w:rPr>
              <w:t>眩光</w:t>
            </w:r>
            <w:r>
              <w:rPr>
                <w:rFonts w:hint="eastAsia" w:ascii="Times New Roman" w:hAnsi="Times New Roman"/>
                <w:sz w:val="18"/>
                <w:szCs w:val="18"/>
              </w:rPr>
              <w:t>等级</w:t>
            </w:r>
          </w:p>
        </w:tc>
      </w:tr>
      <w:tr w14:paraId="54A7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Merge w:val="restart"/>
            <w:vAlign w:val="center"/>
          </w:tcPr>
          <w:p w14:paraId="47951EA6">
            <w:pPr>
              <w:spacing w:line="240" w:lineRule="auto"/>
              <w:jc w:val="center"/>
              <w:rPr>
                <w:rFonts w:ascii="Times New Roman" w:hAnsi="Times New Roman"/>
                <w:sz w:val="18"/>
                <w:szCs w:val="18"/>
              </w:rPr>
            </w:pPr>
            <w:r>
              <w:rPr>
                <w:rFonts w:hint="eastAsia" w:ascii="Times New Roman" w:hAnsi="Times New Roman"/>
                <w:sz w:val="18"/>
                <w:szCs w:val="18"/>
              </w:rPr>
              <w:t>无眩光</w:t>
            </w:r>
          </w:p>
        </w:tc>
        <w:tc>
          <w:tcPr>
            <w:tcW w:w="5213" w:type="dxa"/>
            <w:vAlign w:val="center"/>
          </w:tcPr>
          <w:p w14:paraId="3EC59761">
            <w:pPr>
              <w:spacing w:line="240" w:lineRule="auto"/>
              <w:jc w:val="center"/>
              <w:rPr>
                <w:rFonts w:ascii="Times New Roman" w:hAnsi="Times New Roman"/>
                <w:sz w:val="18"/>
                <w:szCs w:val="18"/>
              </w:rPr>
            </w:pPr>
            <w:r>
              <w:rPr>
                <w:rFonts w:hint="eastAsia" w:ascii="Times New Roman" w:hAnsi="Times New Roman"/>
                <w:sz w:val="18"/>
                <w:szCs w:val="18"/>
              </w:rPr>
              <w:t>驾驶员看不到玻璃幕墙</w:t>
            </w:r>
          </w:p>
        </w:tc>
        <w:tc>
          <w:tcPr>
            <w:tcW w:w="1836" w:type="dxa"/>
            <w:vAlign w:val="center"/>
          </w:tcPr>
          <w:p w14:paraId="3D4D2C3F">
            <w:pPr>
              <w:spacing w:line="240" w:lineRule="auto"/>
              <w:jc w:val="center"/>
              <w:rPr>
                <w:rFonts w:ascii="Times New Roman" w:hAnsi="Times New Roman"/>
                <w:sz w:val="18"/>
                <w:szCs w:val="18"/>
              </w:rPr>
            </w:pPr>
            <w:r>
              <w:rPr>
                <w:rFonts w:hint="eastAsia" w:ascii="Times New Roman" w:hAnsi="Times New Roman"/>
                <w:sz w:val="18"/>
                <w:szCs w:val="18"/>
              </w:rPr>
              <w:t>无</w:t>
            </w:r>
          </w:p>
        </w:tc>
      </w:tr>
      <w:tr w14:paraId="4DFA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Merge w:val="continue"/>
            <w:vAlign w:val="center"/>
          </w:tcPr>
          <w:p w14:paraId="2DC49C9A">
            <w:pPr>
              <w:spacing w:line="240" w:lineRule="auto"/>
              <w:jc w:val="center"/>
              <w:rPr>
                <w:rFonts w:ascii="Times New Roman" w:hAnsi="Times New Roman"/>
                <w:sz w:val="18"/>
                <w:szCs w:val="18"/>
              </w:rPr>
            </w:pPr>
          </w:p>
        </w:tc>
        <w:tc>
          <w:tcPr>
            <w:tcW w:w="5213" w:type="dxa"/>
            <w:vAlign w:val="center"/>
          </w:tcPr>
          <w:p w14:paraId="6AB881BB">
            <w:pPr>
              <w:spacing w:line="240" w:lineRule="auto"/>
              <w:jc w:val="center"/>
              <w:rPr>
                <w:rFonts w:ascii="Times New Roman" w:hAnsi="Times New Roman"/>
                <w:sz w:val="18"/>
                <w:szCs w:val="18"/>
              </w:rPr>
            </w:pPr>
            <w:r>
              <w:rPr>
                <w:rFonts w:hint="eastAsia" w:ascii="Times New Roman" w:hAnsi="Times New Roman"/>
                <w:sz w:val="18"/>
                <w:szCs w:val="18"/>
              </w:rPr>
              <w:t>反射光线不进入驾驶员视野</w:t>
            </w:r>
          </w:p>
        </w:tc>
        <w:tc>
          <w:tcPr>
            <w:tcW w:w="1836" w:type="dxa"/>
            <w:vAlign w:val="center"/>
          </w:tcPr>
          <w:p w14:paraId="4355CF35">
            <w:pPr>
              <w:spacing w:line="240" w:lineRule="auto"/>
              <w:jc w:val="center"/>
              <w:rPr>
                <w:rFonts w:ascii="Times New Roman" w:hAnsi="Times New Roman"/>
                <w:sz w:val="18"/>
                <w:szCs w:val="18"/>
              </w:rPr>
            </w:pPr>
            <w:r>
              <w:rPr>
                <w:rFonts w:hint="eastAsia" w:ascii="Times New Roman" w:hAnsi="Times New Roman"/>
                <w:sz w:val="18"/>
                <w:szCs w:val="18"/>
              </w:rPr>
              <w:t>无</w:t>
            </w:r>
          </w:p>
        </w:tc>
      </w:tr>
      <w:tr w14:paraId="5135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Merge w:val="restart"/>
            <w:vAlign w:val="center"/>
          </w:tcPr>
          <w:p w14:paraId="2DE7B370">
            <w:pPr>
              <w:spacing w:line="240" w:lineRule="auto"/>
              <w:jc w:val="center"/>
              <w:rPr>
                <w:rFonts w:ascii="Times New Roman" w:hAnsi="Times New Roman"/>
                <w:sz w:val="18"/>
                <w:szCs w:val="18"/>
              </w:rPr>
            </w:pPr>
            <w:r>
              <w:rPr>
                <w:rFonts w:hint="eastAsia" w:ascii="Times New Roman" w:hAnsi="Times New Roman"/>
                <w:sz w:val="18"/>
                <w:szCs w:val="18"/>
              </w:rPr>
              <w:t>有眩光</w:t>
            </w:r>
          </w:p>
        </w:tc>
        <w:tc>
          <w:tcPr>
            <w:tcW w:w="5213" w:type="dxa"/>
            <w:vAlign w:val="center"/>
          </w:tcPr>
          <w:p w14:paraId="2CDBAD59">
            <w:pPr>
              <w:pStyle w:val="232"/>
              <w:jc w:val="center"/>
              <w:rPr>
                <w:rFonts w:ascii="Times New Roman" w:hAnsi="Times New Roman"/>
                <w:sz w:val="18"/>
                <w:szCs w:val="18"/>
              </w:rPr>
            </w:pPr>
            <w:r>
              <w:rPr>
                <w:rFonts w:hint="eastAsia" w:ascii="Times New Roman" w:hAnsi="Times New Roman"/>
                <w:sz w:val="18"/>
                <w:szCs w:val="18"/>
              </w:rPr>
              <w:t>视网膜辐照度始终不大于阈值</w:t>
            </w:r>
            <w:r>
              <w:rPr>
                <w:rFonts w:hint="eastAsia" w:ascii="Times New Roman" w:hAnsi="Times New Roman"/>
                <w:i/>
                <w:iCs/>
                <w:sz w:val="21"/>
                <w:szCs w:val="21"/>
              </w:rPr>
              <w:t>E</w:t>
            </w:r>
            <w:r>
              <w:rPr>
                <w:rFonts w:hint="eastAsia" w:ascii="Times New Roman" w:hAnsi="Times New Roman"/>
                <w:sz w:val="21"/>
                <w:szCs w:val="21"/>
                <w:vertAlign w:val="subscript"/>
              </w:rPr>
              <w:t>r,flash</w:t>
            </w:r>
            <w:r>
              <w:rPr>
                <w:rFonts w:ascii="Times New Roman" w:hAnsi="Times New Roman" w:cs="Times New Roman"/>
                <w:sz w:val="18"/>
                <w:szCs w:val="18"/>
              </w:rPr>
              <w:t xml:space="preserve"> </w:t>
            </w:r>
          </w:p>
        </w:tc>
        <w:tc>
          <w:tcPr>
            <w:tcW w:w="1836" w:type="dxa"/>
            <w:vAlign w:val="center"/>
          </w:tcPr>
          <w:p w14:paraId="02960B20">
            <w:pPr>
              <w:spacing w:line="240" w:lineRule="auto"/>
              <w:jc w:val="center"/>
              <w:rPr>
                <w:rFonts w:ascii="Times New Roman" w:hAnsi="Times New Roman"/>
                <w:sz w:val="18"/>
                <w:szCs w:val="18"/>
              </w:rPr>
            </w:pPr>
            <w:r>
              <w:rPr>
                <w:rFonts w:hint="eastAsia" w:ascii="Times New Roman" w:hAnsi="Times New Roman"/>
                <w:sz w:val="18"/>
                <w:szCs w:val="18"/>
              </w:rPr>
              <w:t>低</w:t>
            </w:r>
          </w:p>
        </w:tc>
      </w:tr>
      <w:tr w14:paraId="71BA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Merge w:val="continue"/>
            <w:vAlign w:val="center"/>
          </w:tcPr>
          <w:p w14:paraId="0961FD95">
            <w:pPr>
              <w:spacing w:line="240" w:lineRule="auto"/>
              <w:jc w:val="center"/>
              <w:rPr>
                <w:rFonts w:ascii="Times New Roman" w:hAnsi="Times New Roman"/>
                <w:sz w:val="18"/>
                <w:szCs w:val="18"/>
              </w:rPr>
            </w:pPr>
          </w:p>
        </w:tc>
        <w:tc>
          <w:tcPr>
            <w:tcW w:w="5213" w:type="dxa"/>
            <w:vAlign w:val="center"/>
          </w:tcPr>
          <w:p w14:paraId="0F4A05BD">
            <w:pPr>
              <w:spacing w:line="240" w:lineRule="auto"/>
              <w:jc w:val="center"/>
              <w:rPr>
                <w:rFonts w:ascii="Times New Roman" w:hAnsi="Times New Roman"/>
                <w:sz w:val="18"/>
                <w:szCs w:val="18"/>
              </w:rPr>
            </w:pPr>
            <w:r>
              <w:rPr>
                <w:rFonts w:hint="eastAsia" w:ascii="Times New Roman" w:hAnsi="Times New Roman"/>
                <w:sz w:val="18"/>
                <w:szCs w:val="18"/>
              </w:rPr>
              <w:t>不多于10%的测点视网膜辐照度大于阈值</w:t>
            </w:r>
            <w:r>
              <w:rPr>
                <w:rFonts w:hint="eastAsia" w:ascii="Times New Roman" w:hAnsi="Times New Roman"/>
                <w:i/>
                <w:iCs/>
              </w:rPr>
              <w:t>E</w:t>
            </w:r>
            <w:r>
              <w:rPr>
                <w:rFonts w:hint="eastAsia" w:ascii="Times New Roman" w:hAnsi="Times New Roman"/>
                <w:vertAlign w:val="subscript"/>
              </w:rPr>
              <w:t>r,flash</w:t>
            </w:r>
            <w:r>
              <w:rPr>
                <w:rFonts w:hint="eastAsia" w:ascii="Times New Roman" w:hAnsi="Times New Roman"/>
                <w:sz w:val="18"/>
                <w:szCs w:val="18"/>
              </w:rPr>
              <w:t xml:space="preserve"> </w:t>
            </w:r>
          </w:p>
        </w:tc>
        <w:tc>
          <w:tcPr>
            <w:tcW w:w="1836" w:type="dxa"/>
            <w:vAlign w:val="center"/>
          </w:tcPr>
          <w:p w14:paraId="25CAD783">
            <w:pPr>
              <w:spacing w:line="240" w:lineRule="auto"/>
              <w:jc w:val="center"/>
              <w:rPr>
                <w:rFonts w:ascii="Times New Roman" w:hAnsi="Times New Roman"/>
                <w:sz w:val="18"/>
                <w:szCs w:val="18"/>
              </w:rPr>
            </w:pPr>
            <w:r>
              <w:rPr>
                <w:rFonts w:hint="eastAsia" w:ascii="Times New Roman" w:hAnsi="Times New Roman"/>
                <w:sz w:val="18"/>
                <w:szCs w:val="18"/>
              </w:rPr>
              <w:t>中</w:t>
            </w:r>
          </w:p>
        </w:tc>
      </w:tr>
      <w:tr w14:paraId="3378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Merge w:val="continue"/>
            <w:vAlign w:val="center"/>
          </w:tcPr>
          <w:p w14:paraId="1C695FCF">
            <w:pPr>
              <w:spacing w:line="240" w:lineRule="auto"/>
              <w:jc w:val="center"/>
              <w:rPr>
                <w:rFonts w:ascii="Times New Roman" w:hAnsi="Times New Roman"/>
                <w:sz w:val="18"/>
                <w:szCs w:val="18"/>
              </w:rPr>
            </w:pPr>
          </w:p>
        </w:tc>
        <w:tc>
          <w:tcPr>
            <w:tcW w:w="5213" w:type="dxa"/>
            <w:vAlign w:val="center"/>
          </w:tcPr>
          <w:p w14:paraId="118D5873">
            <w:pPr>
              <w:spacing w:line="240" w:lineRule="auto"/>
              <w:jc w:val="center"/>
              <w:rPr>
                <w:rFonts w:ascii="Times New Roman" w:hAnsi="Times New Roman"/>
                <w:sz w:val="18"/>
                <w:szCs w:val="18"/>
              </w:rPr>
            </w:pPr>
            <w:r>
              <w:rPr>
                <w:rFonts w:hint="eastAsia" w:ascii="Times New Roman" w:hAnsi="Times New Roman"/>
                <w:sz w:val="18"/>
                <w:szCs w:val="18"/>
              </w:rPr>
              <w:t>超过10%的测点视网膜辐照度大于阈值</w:t>
            </w:r>
            <w:r>
              <w:rPr>
                <w:rFonts w:hint="eastAsia" w:ascii="Times New Roman" w:hAnsi="Times New Roman"/>
                <w:i/>
                <w:iCs/>
              </w:rPr>
              <w:t>E</w:t>
            </w:r>
            <w:r>
              <w:rPr>
                <w:rFonts w:hint="eastAsia" w:ascii="Times New Roman" w:hAnsi="Times New Roman"/>
                <w:vertAlign w:val="subscript"/>
              </w:rPr>
              <w:t>r,flash</w:t>
            </w:r>
          </w:p>
        </w:tc>
        <w:tc>
          <w:tcPr>
            <w:tcW w:w="1836" w:type="dxa"/>
            <w:vAlign w:val="center"/>
          </w:tcPr>
          <w:p w14:paraId="7686FBDB">
            <w:pPr>
              <w:spacing w:line="240" w:lineRule="auto"/>
              <w:jc w:val="center"/>
              <w:rPr>
                <w:rFonts w:ascii="Times New Roman" w:hAnsi="Times New Roman"/>
                <w:sz w:val="18"/>
                <w:szCs w:val="18"/>
              </w:rPr>
            </w:pPr>
            <w:r>
              <w:rPr>
                <w:rFonts w:hint="eastAsia" w:ascii="Times New Roman" w:hAnsi="Times New Roman"/>
                <w:sz w:val="18"/>
                <w:szCs w:val="18"/>
              </w:rPr>
              <w:t>高</w:t>
            </w:r>
          </w:p>
        </w:tc>
      </w:tr>
      <w:tr w14:paraId="14D8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3"/>
            <w:vAlign w:val="center"/>
          </w:tcPr>
          <w:p w14:paraId="7F96A516">
            <w:pPr>
              <w:spacing w:line="240" w:lineRule="auto"/>
              <w:jc w:val="left"/>
              <w:rPr>
                <w:rFonts w:hint="eastAsia" w:ascii="Times New Roman" w:hAnsi="Times New Roman"/>
                <w:sz w:val="18"/>
                <w:szCs w:val="18"/>
              </w:rPr>
            </w:pPr>
            <w:r>
              <w:rPr>
                <w:rFonts w:hint="eastAsia" w:ascii="Times New Roman" w:hAnsi="Times New Roman"/>
                <w:sz w:val="18"/>
                <w:szCs w:val="18"/>
              </w:rPr>
              <w:t>注：阈值</w:t>
            </w:r>
            <w:r>
              <w:rPr>
                <w:rFonts w:hint="eastAsia" w:ascii="Times New Roman" w:hAnsi="Times New Roman"/>
                <w:i/>
                <w:iCs/>
                <w:sz w:val="18"/>
                <w:szCs w:val="18"/>
              </w:rPr>
              <w:t>E</w:t>
            </w:r>
            <w:r>
              <w:rPr>
                <w:rFonts w:hint="eastAsia" w:ascii="Times New Roman" w:hAnsi="Times New Roman"/>
                <w:sz w:val="18"/>
                <w:szCs w:val="18"/>
                <w:vertAlign w:val="subscript"/>
              </w:rPr>
              <w:t>r,flash</w:t>
            </w:r>
            <w:r>
              <w:rPr>
                <w:rFonts w:hint="eastAsia" w:ascii="Times New Roman" w:hAnsi="Times New Roman"/>
                <w:sz w:val="18"/>
                <w:szCs w:val="18"/>
              </w:rPr>
              <w:t>=3.59*10</w:t>
            </w:r>
            <w:r>
              <w:rPr>
                <w:rFonts w:hint="eastAsia" w:ascii="Times New Roman" w:hAnsi="Times New Roman"/>
                <w:sz w:val="18"/>
                <w:szCs w:val="18"/>
                <w:vertAlign w:val="superscript"/>
              </w:rPr>
              <w:t>-5</w:t>
            </w:r>
            <w:r>
              <w:rPr>
                <w:rFonts w:hint="eastAsia" w:ascii="Times New Roman" w:hAnsi="Times New Roman"/>
                <w:sz w:val="18"/>
                <w:szCs w:val="18"/>
              </w:rPr>
              <w:t>/ω</w:t>
            </w:r>
            <w:r>
              <w:rPr>
                <w:rFonts w:hint="eastAsia" w:ascii="Times New Roman" w:hAnsi="Times New Roman"/>
                <w:sz w:val="18"/>
                <w:szCs w:val="18"/>
                <w:vertAlign w:val="superscript"/>
              </w:rPr>
              <w:t>1.77</w:t>
            </w:r>
            <w:r>
              <w:rPr>
                <w:rFonts w:hint="eastAsia" w:ascii="Times New Roman" w:hAnsi="Times New Roman"/>
                <w:sz w:val="18"/>
                <w:szCs w:val="18"/>
              </w:rPr>
              <w:t>，单位为瓦每平方厘米（W/cm</w:t>
            </w:r>
            <w:r>
              <w:rPr>
                <w:rFonts w:hint="eastAsia" w:ascii="Times New Roman" w:hAnsi="Times New Roman"/>
                <w:sz w:val="18"/>
                <w:szCs w:val="18"/>
                <w:vertAlign w:val="superscript"/>
              </w:rPr>
              <w:t>2</w:t>
            </w:r>
            <w:r>
              <w:rPr>
                <w:rFonts w:hint="eastAsia" w:ascii="Times New Roman" w:hAnsi="Times New Roman"/>
                <w:sz w:val="18"/>
                <w:szCs w:val="18"/>
              </w:rPr>
              <w:t>）</w:t>
            </w:r>
            <w:r>
              <w:rPr>
                <w:rFonts w:hint="eastAsia" w:ascii="Times New Roman" w:hAnsi="Times New Roman"/>
                <w:sz w:val="18"/>
                <w:szCs w:val="18"/>
                <w:lang w:eastAsia="zh-CN"/>
              </w:rPr>
              <w:t>。</w:t>
            </w:r>
          </w:p>
        </w:tc>
      </w:tr>
    </w:tbl>
    <w:p w14:paraId="429DDBEB">
      <w:pPr>
        <w:spacing w:line="400" w:lineRule="atLeast"/>
        <w:rPr>
          <w:rFonts w:ascii="Times New Roman" w:hAnsi="Times New Roman"/>
          <w:sz w:val="18"/>
          <w:szCs w:val="18"/>
        </w:rPr>
      </w:pPr>
    </w:p>
    <w:p w14:paraId="3D0A8F80">
      <w:pPr>
        <w:pStyle w:val="60"/>
        <w:ind w:firstLine="420"/>
        <w:rPr>
          <w:rFonts w:ascii="Times New Roman"/>
        </w:rPr>
      </w:pPr>
    </w:p>
    <w:p w14:paraId="7AFD5670">
      <w:pPr>
        <w:pStyle w:val="60"/>
        <w:ind w:firstLine="420"/>
        <w:rPr>
          <w:rFonts w:ascii="Times New Roman"/>
        </w:rPr>
        <w:sectPr>
          <w:headerReference r:id="rId29" w:type="default"/>
          <w:footerReference r:id="rId31" w:type="default"/>
          <w:headerReference r:id="rId30" w:type="even"/>
          <w:footerReference r:id="rId32" w:type="even"/>
          <w:pgSz w:w="11906" w:h="16838"/>
          <w:pgMar w:top="1871" w:right="1134" w:bottom="1134" w:left="1134" w:header="1418" w:footer="1134" w:gutter="284"/>
          <w:pgBorders>
            <w:top w:val="none" w:sz="0" w:space="0"/>
            <w:left w:val="none" w:sz="0" w:space="0"/>
            <w:bottom w:val="none" w:sz="0" w:space="0"/>
            <w:right w:val="none" w:sz="0" w:space="0"/>
          </w:pgBorders>
          <w:cols w:space="425" w:num="1"/>
          <w:formProt w:val="0"/>
          <w:docGrid w:type="lines" w:linePitch="312" w:charSpace="0"/>
        </w:sectPr>
      </w:pPr>
    </w:p>
    <w:p w14:paraId="2267F7A8">
      <w:pPr>
        <w:pStyle w:val="80"/>
        <w:spacing w:before="78" w:after="156"/>
        <w:rPr>
          <w:rFonts w:ascii="Times New Roman"/>
        </w:rPr>
      </w:pPr>
      <w:bookmarkStart w:id="151" w:name="_Toc11606"/>
      <w:bookmarkStart w:id="152" w:name="_Toc4647"/>
      <w:r>
        <w:rPr>
          <w:rFonts w:ascii="Times New Roman"/>
        </w:rPr>
        <w:br w:type="textWrapping"/>
      </w:r>
      <w:r>
        <w:rPr>
          <w:rFonts w:hint="eastAsia" w:ascii="Times New Roman"/>
        </w:rPr>
        <w:t>（资料性）</w:t>
      </w:r>
      <w:r>
        <w:rPr>
          <w:rFonts w:ascii="Times New Roman"/>
        </w:rPr>
        <w:br w:type="textWrapping"/>
      </w:r>
      <w:r>
        <w:rPr>
          <w:rFonts w:hint="eastAsia" w:ascii="Times New Roman"/>
        </w:rPr>
        <w:t>玻璃幕墙反射光分析报告模板</w:t>
      </w:r>
      <w:bookmarkEnd w:id="151"/>
      <w:bookmarkEnd w:id="152"/>
    </w:p>
    <w:p w14:paraId="0994AF71">
      <w:pPr>
        <w:pStyle w:val="80"/>
        <w:numPr>
          <w:ilvl w:val="0"/>
          <w:numId w:val="0"/>
        </w:numPr>
        <w:spacing w:before="156" w:beforeLines="50" w:after="156"/>
        <w:jc w:val="left"/>
        <w:rPr>
          <w:rFonts w:ascii="Times New Roman"/>
        </w:rPr>
      </w:pPr>
      <w:bookmarkStart w:id="153" w:name="_Toc3728"/>
      <w:bookmarkStart w:id="154" w:name="_Toc18563"/>
      <w:bookmarkStart w:id="155" w:name="_Toc25488"/>
      <w:bookmarkStart w:id="156" w:name="_Toc32478"/>
      <w:r>
        <w:rPr>
          <w:rFonts w:hint="eastAsia" w:ascii="Times New Roman"/>
        </w:rPr>
        <w:t>D</w:t>
      </w:r>
      <w:r>
        <w:rPr>
          <w:rFonts w:ascii="Times New Roman"/>
        </w:rPr>
        <w:t xml:space="preserve">.1 </w:t>
      </w:r>
      <w:r>
        <w:rPr>
          <w:rFonts w:hint="eastAsia" w:ascii="Times New Roman"/>
        </w:rPr>
        <w:t>工程概况</w:t>
      </w:r>
      <w:bookmarkEnd w:id="153"/>
      <w:bookmarkEnd w:id="154"/>
      <w:bookmarkEnd w:id="155"/>
      <w:bookmarkEnd w:id="156"/>
    </w:p>
    <w:p w14:paraId="281B3980">
      <w:pPr>
        <w:pStyle w:val="60"/>
        <w:spacing w:line="360" w:lineRule="auto"/>
        <w:ind w:firstLine="420"/>
        <w:rPr>
          <w:rFonts w:ascii="Times New Roman"/>
        </w:rPr>
      </w:pPr>
      <w:r>
        <w:rPr>
          <w:rFonts w:hint="eastAsia" w:ascii="Times New Roman"/>
        </w:rPr>
        <w:t>工程概况应包括：工程名称、建设地点、工程类型；建筑物性质、使用功能；建筑物数量、高度、建筑面积、平面形状和尺寸；幕墙玻璃在各建筑单体各立面上的位置、高度、面积。</w:t>
      </w:r>
    </w:p>
    <w:p w14:paraId="3779A6DD">
      <w:pPr>
        <w:pStyle w:val="80"/>
        <w:numPr>
          <w:ilvl w:val="0"/>
          <w:numId w:val="0"/>
        </w:numPr>
        <w:spacing w:before="156" w:beforeLines="50" w:after="156"/>
        <w:jc w:val="left"/>
        <w:rPr>
          <w:rFonts w:ascii="Times New Roman"/>
        </w:rPr>
      </w:pPr>
      <w:bookmarkStart w:id="157" w:name="_Toc12664"/>
      <w:bookmarkStart w:id="158" w:name="_Toc7109"/>
      <w:bookmarkStart w:id="159" w:name="_Toc21641"/>
      <w:bookmarkStart w:id="160" w:name="_Toc30679"/>
      <w:r>
        <w:rPr>
          <w:rFonts w:hint="eastAsia" w:ascii="Times New Roman"/>
        </w:rPr>
        <w:t>D.2 玻璃幕墙</w:t>
      </w:r>
      <w:bookmarkEnd w:id="157"/>
      <w:bookmarkEnd w:id="158"/>
      <w:r>
        <w:rPr>
          <w:rFonts w:hint="eastAsia" w:ascii="Times New Roman"/>
        </w:rPr>
        <w:t>信息</w:t>
      </w:r>
      <w:bookmarkEnd w:id="159"/>
      <w:bookmarkEnd w:id="160"/>
    </w:p>
    <w:p w14:paraId="51032B13">
      <w:pPr>
        <w:pStyle w:val="60"/>
        <w:spacing w:line="360" w:lineRule="auto"/>
        <w:ind w:firstLine="420"/>
        <w:rPr>
          <w:rFonts w:ascii="Times New Roman"/>
        </w:rPr>
      </w:pPr>
      <w:r>
        <w:rPr>
          <w:rFonts w:hint="eastAsia" w:ascii="Times New Roman"/>
        </w:rPr>
        <w:t>玻璃幕墙信息应包括：玻璃幕墙类型及配置、玻璃材料光热性能指标、不同可见</w:t>
      </w:r>
      <w:r>
        <w:rPr>
          <w:rFonts w:hint="eastAsia" w:ascii="Times New Roman"/>
          <w:lang w:eastAsia="zh-CN"/>
        </w:rPr>
        <w:t>反射光</w:t>
      </w:r>
      <w:r>
        <w:rPr>
          <w:rFonts w:hint="eastAsia" w:ascii="Times New Roman"/>
        </w:rPr>
        <w:t>比玻璃的使用位置，改扩建工程应说明建设前后玻璃幕墙的对比情况。</w:t>
      </w:r>
    </w:p>
    <w:p w14:paraId="019859FD">
      <w:pPr>
        <w:pStyle w:val="80"/>
        <w:numPr>
          <w:ilvl w:val="0"/>
          <w:numId w:val="0"/>
        </w:numPr>
        <w:spacing w:before="156" w:beforeLines="50" w:after="156"/>
        <w:jc w:val="left"/>
        <w:rPr>
          <w:rFonts w:ascii="Times New Roman"/>
        </w:rPr>
      </w:pPr>
      <w:bookmarkStart w:id="161" w:name="_Toc6956"/>
      <w:bookmarkStart w:id="162" w:name="_Toc28297"/>
      <w:bookmarkStart w:id="163" w:name="_Toc24540"/>
      <w:bookmarkStart w:id="164" w:name="_Toc25096"/>
      <w:r>
        <w:rPr>
          <w:rFonts w:hint="eastAsia" w:ascii="Times New Roman"/>
        </w:rPr>
        <w:t>D.3 敏感</w:t>
      </w:r>
      <w:r>
        <w:rPr>
          <w:rFonts w:hint="eastAsia" w:ascii="Times New Roman"/>
          <w:lang w:val="en-US" w:eastAsia="zh-CN"/>
        </w:rPr>
        <w:t>对象</w:t>
      </w:r>
      <w:r>
        <w:rPr>
          <w:rFonts w:hint="eastAsia" w:ascii="Times New Roman"/>
        </w:rPr>
        <w:t>识别</w:t>
      </w:r>
      <w:bookmarkEnd w:id="161"/>
      <w:bookmarkEnd w:id="162"/>
      <w:bookmarkEnd w:id="163"/>
      <w:bookmarkEnd w:id="164"/>
    </w:p>
    <w:p w14:paraId="4CC0E978">
      <w:pPr>
        <w:pStyle w:val="60"/>
        <w:spacing w:line="360" w:lineRule="auto"/>
        <w:ind w:firstLine="420"/>
        <w:rPr>
          <w:rFonts w:ascii="Times New Roman"/>
        </w:rPr>
      </w:pPr>
      <w:r>
        <w:rPr>
          <w:rFonts w:hint="eastAsia" w:ascii="Times New Roman"/>
        </w:rPr>
        <w:t>确定分析范围，并识别分析范围内的已建、在建和规划的敏感对象，应包括居住建筑、医院、中小学校及幼儿园，以及主要的道路等。</w:t>
      </w:r>
    </w:p>
    <w:p w14:paraId="1FC98108">
      <w:pPr>
        <w:pStyle w:val="80"/>
        <w:numPr>
          <w:ilvl w:val="0"/>
          <w:numId w:val="0"/>
        </w:numPr>
        <w:spacing w:before="156" w:beforeLines="50" w:after="156"/>
        <w:jc w:val="left"/>
        <w:rPr>
          <w:rFonts w:ascii="Times New Roman"/>
        </w:rPr>
      </w:pPr>
      <w:bookmarkStart w:id="165" w:name="_Toc19367"/>
      <w:bookmarkStart w:id="166" w:name="_Toc31503"/>
      <w:bookmarkStart w:id="167" w:name="_Toc15870"/>
      <w:bookmarkStart w:id="168" w:name="_Toc15056"/>
      <w:r>
        <w:rPr>
          <w:rFonts w:hint="eastAsia" w:ascii="Times New Roman"/>
        </w:rPr>
        <w:t>D.4 反射光计算与分析</w:t>
      </w:r>
      <w:bookmarkEnd w:id="165"/>
      <w:bookmarkEnd w:id="166"/>
      <w:bookmarkEnd w:id="167"/>
      <w:bookmarkEnd w:id="168"/>
    </w:p>
    <w:p w14:paraId="1067C615">
      <w:pPr>
        <w:pStyle w:val="80"/>
        <w:numPr>
          <w:ilvl w:val="0"/>
          <w:numId w:val="0"/>
        </w:numPr>
        <w:spacing w:before="156" w:beforeLines="50" w:after="156"/>
        <w:jc w:val="left"/>
        <w:rPr>
          <w:rFonts w:ascii="Times New Roman"/>
        </w:rPr>
      </w:pPr>
      <w:bookmarkStart w:id="169" w:name="_Toc7500"/>
      <w:bookmarkStart w:id="170" w:name="_Toc2443"/>
      <w:bookmarkStart w:id="171" w:name="_Toc32260"/>
      <w:bookmarkStart w:id="172" w:name="_Toc14457"/>
      <w:r>
        <w:rPr>
          <w:rFonts w:hint="eastAsia" w:ascii="Times New Roman"/>
        </w:rPr>
        <w:t>D</w:t>
      </w:r>
      <w:r>
        <w:rPr>
          <w:rFonts w:ascii="Times New Roman"/>
        </w:rPr>
        <w:t xml:space="preserve">.4.1 </w:t>
      </w:r>
      <w:r>
        <w:rPr>
          <w:rFonts w:hint="eastAsia" w:ascii="Times New Roman"/>
        </w:rPr>
        <w:t>计算</w:t>
      </w:r>
      <w:bookmarkEnd w:id="169"/>
      <w:bookmarkEnd w:id="170"/>
      <w:r>
        <w:rPr>
          <w:rFonts w:hint="eastAsia" w:ascii="Times New Roman"/>
        </w:rPr>
        <w:t>条件</w:t>
      </w:r>
      <w:bookmarkEnd w:id="171"/>
      <w:bookmarkEnd w:id="172"/>
    </w:p>
    <w:p w14:paraId="7826D39D">
      <w:pPr>
        <w:pStyle w:val="60"/>
        <w:spacing w:line="360" w:lineRule="auto"/>
        <w:ind w:firstLine="420"/>
        <w:rPr>
          <w:rFonts w:ascii="Times New Roman"/>
        </w:rPr>
      </w:pPr>
      <w:r>
        <w:rPr>
          <w:rFonts w:hint="eastAsia" w:ascii="Times New Roman"/>
        </w:rPr>
        <w:t>计算条件应包括：计算的参数，周边建筑的遮挡，幕墙玻璃单元分割、相间设计、遮阳设施等，模型的简化等。</w:t>
      </w:r>
    </w:p>
    <w:p w14:paraId="049132E3">
      <w:pPr>
        <w:pStyle w:val="80"/>
        <w:numPr>
          <w:ilvl w:val="0"/>
          <w:numId w:val="0"/>
        </w:numPr>
        <w:spacing w:before="156" w:beforeLines="50" w:after="156"/>
        <w:jc w:val="left"/>
        <w:rPr>
          <w:rFonts w:ascii="Times New Roman"/>
        </w:rPr>
      </w:pPr>
      <w:bookmarkStart w:id="173" w:name="_Toc32678"/>
      <w:bookmarkStart w:id="174" w:name="_Toc16082"/>
      <w:bookmarkStart w:id="175" w:name="_Toc15252"/>
      <w:bookmarkStart w:id="176" w:name="_Toc17425"/>
      <w:r>
        <w:rPr>
          <w:rFonts w:hint="eastAsia" w:ascii="Times New Roman"/>
        </w:rPr>
        <w:t>D.4.2 分析内容</w:t>
      </w:r>
      <w:bookmarkEnd w:id="173"/>
      <w:bookmarkEnd w:id="174"/>
      <w:bookmarkEnd w:id="175"/>
      <w:bookmarkEnd w:id="176"/>
    </w:p>
    <w:p w14:paraId="5159E3E3">
      <w:pPr>
        <w:pStyle w:val="60"/>
        <w:spacing w:line="360" w:lineRule="auto"/>
        <w:ind w:firstLine="420"/>
        <w:rPr>
          <w:rFonts w:ascii="Times New Roman"/>
          <w:highlight w:val="none"/>
        </w:rPr>
      </w:pPr>
      <w:r>
        <w:rPr>
          <w:rFonts w:ascii="Times New Roman"/>
          <w:highlight w:val="none"/>
        </w:rPr>
        <w:t>分析报告应</w:t>
      </w:r>
      <w:r>
        <w:rPr>
          <w:rFonts w:hint="eastAsia" w:ascii="Times New Roman"/>
          <w:highlight w:val="none"/>
          <w:lang w:val="en-US" w:eastAsia="zh-CN"/>
        </w:rPr>
        <w:t>包括：</w:t>
      </w:r>
      <w:r>
        <w:rPr>
          <w:rFonts w:ascii="Times New Roman"/>
          <w:highlight w:val="none"/>
        </w:rPr>
        <w:t>敏感建筑窗台面、</w:t>
      </w:r>
      <w:r>
        <w:rPr>
          <w:rFonts w:hint="eastAsia" w:ascii="Times New Roman"/>
          <w:highlight w:val="none"/>
        </w:rPr>
        <w:t>主要</w:t>
      </w:r>
      <w:r>
        <w:rPr>
          <w:rFonts w:ascii="Times New Roman"/>
          <w:highlight w:val="none"/>
        </w:rPr>
        <w:t>道路行车方向受反射光影响分析结果，敏感</w:t>
      </w:r>
      <w:r>
        <w:rPr>
          <w:rFonts w:hint="eastAsia" w:ascii="Times New Roman"/>
          <w:highlight w:val="none"/>
        </w:rPr>
        <w:t>对象</w:t>
      </w:r>
      <w:r>
        <w:rPr>
          <w:rFonts w:ascii="Times New Roman"/>
          <w:highlight w:val="none"/>
        </w:rPr>
        <w:t>受反射光影响统计结果列表</w:t>
      </w:r>
      <w:r>
        <w:rPr>
          <w:rFonts w:hint="eastAsia" w:ascii="Times New Roman"/>
          <w:highlight w:val="none"/>
        </w:rPr>
        <w:t>，聚</w:t>
      </w:r>
      <w:r>
        <w:rPr>
          <w:rFonts w:hint="eastAsia" w:ascii="Times New Roman"/>
          <w:highlight w:val="none"/>
          <w:lang w:val="en-US" w:eastAsia="zh-CN"/>
        </w:rPr>
        <w:t>光</w:t>
      </w:r>
      <w:r>
        <w:rPr>
          <w:rFonts w:hint="eastAsia" w:ascii="Times New Roman"/>
          <w:highlight w:val="none"/>
        </w:rPr>
        <w:t>点的位置、时间和热辐射值等分析结果。</w:t>
      </w:r>
    </w:p>
    <w:p w14:paraId="00D61296">
      <w:pPr>
        <w:pStyle w:val="80"/>
        <w:numPr>
          <w:ilvl w:val="0"/>
          <w:numId w:val="0"/>
        </w:numPr>
        <w:spacing w:before="156" w:beforeLines="50" w:after="156"/>
        <w:jc w:val="left"/>
        <w:rPr>
          <w:rFonts w:hint="eastAsia" w:ascii="Times New Roman"/>
        </w:rPr>
      </w:pPr>
      <w:bookmarkStart w:id="177" w:name="_Toc9325"/>
      <w:bookmarkStart w:id="178" w:name="_Toc26518"/>
      <w:bookmarkStart w:id="179" w:name="_Toc9721"/>
      <w:bookmarkStart w:id="180" w:name="_Toc12040"/>
      <w:r>
        <w:rPr>
          <w:rFonts w:hint="eastAsia" w:ascii="Times New Roman"/>
        </w:rPr>
        <w:t xml:space="preserve">D.6 </w:t>
      </w:r>
      <w:r>
        <w:rPr>
          <w:rFonts w:hint="eastAsia" w:ascii="Times New Roman"/>
          <w:lang w:val="en-US" w:eastAsia="zh-CN"/>
        </w:rPr>
        <w:t>插图（附图）</w:t>
      </w:r>
      <w:r>
        <w:rPr>
          <w:rFonts w:hint="eastAsia" w:ascii="Times New Roman"/>
        </w:rPr>
        <w:t>要求</w:t>
      </w:r>
      <w:bookmarkEnd w:id="177"/>
      <w:bookmarkEnd w:id="178"/>
      <w:bookmarkEnd w:id="179"/>
      <w:bookmarkEnd w:id="180"/>
    </w:p>
    <w:p w14:paraId="1E7C5426">
      <w:pPr>
        <w:pStyle w:val="60"/>
        <w:rPr>
          <w:rFonts w:hint="default" w:eastAsia="宋体"/>
          <w:lang w:val="en-US" w:eastAsia="zh-CN"/>
        </w:rPr>
      </w:pPr>
      <w:r>
        <w:rPr>
          <w:rFonts w:ascii="Times New Roman"/>
          <w:highlight w:val="none"/>
        </w:rPr>
        <w:t>分析</w:t>
      </w:r>
      <w:r>
        <w:rPr>
          <w:rFonts w:hint="eastAsia" w:ascii="Times New Roman"/>
          <w:lang w:val="en-US" w:eastAsia="zh-CN"/>
        </w:rPr>
        <w:t>报告中的插图或附图应至少包含以下内容：</w:t>
      </w:r>
    </w:p>
    <w:p w14:paraId="2F93A68C">
      <w:pPr>
        <w:pStyle w:val="60"/>
        <w:numPr>
          <w:ilvl w:val="0"/>
          <w:numId w:val="37"/>
        </w:numPr>
        <w:spacing w:line="360" w:lineRule="auto"/>
        <w:ind w:firstLine="420" w:firstLineChars="0"/>
        <w:rPr>
          <w:rFonts w:ascii="Times New Roman"/>
        </w:rPr>
      </w:pPr>
      <w:r>
        <w:rPr>
          <w:rFonts w:ascii="Times New Roman"/>
        </w:rPr>
        <w:t>地理位置图、区域位置图；</w:t>
      </w:r>
    </w:p>
    <w:p w14:paraId="4E6924D6">
      <w:pPr>
        <w:pStyle w:val="60"/>
        <w:numPr>
          <w:ilvl w:val="0"/>
          <w:numId w:val="37"/>
        </w:numPr>
        <w:spacing w:line="360" w:lineRule="auto"/>
        <w:ind w:firstLine="420" w:firstLineChars="0"/>
        <w:rPr>
          <w:rFonts w:ascii="Times New Roman"/>
        </w:rPr>
      </w:pPr>
      <w:r>
        <w:rPr>
          <w:rFonts w:ascii="Times New Roman"/>
        </w:rPr>
        <w:t>反射光分析范围的地理信息图（应标示分析范围、</w:t>
      </w:r>
      <w:r>
        <w:rPr>
          <w:rFonts w:hint="eastAsia" w:ascii="Times New Roman"/>
        </w:rPr>
        <w:t>周边环境、</w:t>
      </w:r>
      <w:r>
        <w:rPr>
          <w:rFonts w:ascii="Times New Roman"/>
        </w:rPr>
        <w:t>敏感</w:t>
      </w:r>
      <w:r>
        <w:rPr>
          <w:rFonts w:hint="eastAsia" w:ascii="Times New Roman"/>
        </w:rPr>
        <w:t>对象等</w:t>
      </w:r>
      <w:r>
        <w:rPr>
          <w:rFonts w:ascii="Times New Roman"/>
        </w:rPr>
        <w:t>名称），并附以实拍照片；</w:t>
      </w:r>
    </w:p>
    <w:p w14:paraId="32B6F684">
      <w:pPr>
        <w:pStyle w:val="60"/>
        <w:numPr>
          <w:ilvl w:val="0"/>
          <w:numId w:val="37"/>
        </w:numPr>
        <w:spacing w:line="360" w:lineRule="auto"/>
        <w:ind w:firstLine="420" w:firstLineChars="0"/>
        <w:rPr>
          <w:rFonts w:ascii="Times New Roman"/>
        </w:rPr>
      </w:pPr>
      <w:r>
        <w:rPr>
          <w:rFonts w:ascii="Times New Roman"/>
        </w:rPr>
        <w:t xml:space="preserve"> 标示玻璃幕墙位置的总平面图和各方位立面图；</w:t>
      </w:r>
    </w:p>
    <w:p w14:paraId="301BF873">
      <w:pPr>
        <w:pStyle w:val="60"/>
        <w:numPr>
          <w:ilvl w:val="0"/>
          <w:numId w:val="37"/>
        </w:numPr>
        <w:spacing w:line="360" w:lineRule="auto"/>
        <w:ind w:firstLine="420" w:firstLineChars="0"/>
        <w:rPr>
          <w:rFonts w:ascii="Times New Roman"/>
        </w:rPr>
      </w:pPr>
      <w:r>
        <w:rPr>
          <w:rFonts w:ascii="Times New Roman"/>
        </w:rPr>
        <w:t>建设工程及</w:t>
      </w:r>
      <w:r>
        <w:rPr>
          <w:rFonts w:hint="eastAsia" w:ascii="Times New Roman"/>
          <w:lang w:eastAsia="zh-CN"/>
        </w:rPr>
        <w:t>反射光</w:t>
      </w:r>
      <w:r>
        <w:rPr>
          <w:rFonts w:ascii="Times New Roman"/>
        </w:rPr>
        <w:t>影响分析范围内含周边环境的三维模型图；</w:t>
      </w:r>
    </w:p>
    <w:p w14:paraId="3C172D18">
      <w:pPr>
        <w:pStyle w:val="60"/>
        <w:numPr>
          <w:ilvl w:val="0"/>
          <w:numId w:val="37"/>
        </w:numPr>
        <w:spacing w:line="360" w:lineRule="auto"/>
        <w:ind w:firstLine="420" w:firstLineChars="0"/>
        <w:rPr>
          <w:rFonts w:ascii="Times New Roman"/>
        </w:rPr>
      </w:pPr>
      <w:r>
        <w:rPr>
          <w:rFonts w:ascii="Times New Roman"/>
        </w:rPr>
        <w:t>春分日、夏至日、秋分日、冬至日及二十四节气日的</w:t>
      </w:r>
      <w:r>
        <w:rPr>
          <w:rFonts w:hint="eastAsia" w:ascii="Times New Roman"/>
          <w:lang w:eastAsia="zh-CN"/>
        </w:rPr>
        <w:t>反射光</w:t>
      </w:r>
      <w:r>
        <w:rPr>
          <w:rFonts w:ascii="Times New Roman"/>
        </w:rPr>
        <w:t>影响分析图；</w:t>
      </w:r>
    </w:p>
    <w:p w14:paraId="6029B8F9">
      <w:pPr>
        <w:pStyle w:val="60"/>
        <w:numPr>
          <w:ilvl w:val="0"/>
          <w:numId w:val="37"/>
        </w:numPr>
        <w:spacing w:line="360" w:lineRule="auto"/>
        <w:ind w:firstLine="420" w:firstLineChars="0"/>
        <w:rPr>
          <w:rFonts w:ascii="Times New Roman"/>
        </w:rPr>
      </w:pPr>
      <w:r>
        <w:rPr>
          <w:rFonts w:ascii="Times New Roman"/>
        </w:rPr>
        <w:t>经设计单位确认的立面图、剖面图、典型单元玻璃幕墙大样图、节点图；</w:t>
      </w:r>
    </w:p>
    <w:p w14:paraId="3BAA1EB2">
      <w:pPr>
        <w:pStyle w:val="60"/>
        <w:numPr>
          <w:ilvl w:val="0"/>
          <w:numId w:val="37"/>
        </w:numPr>
        <w:spacing w:line="360" w:lineRule="auto"/>
        <w:ind w:firstLine="420" w:firstLineChars="0"/>
        <w:rPr>
          <w:rFonts w:hint="eastAsia" w:ascii="Times New Roman"/>
        </w:rPr>
      </w:pPr>
      <w:r>
        <w:rPr>
          <w:rFonts w:ascii="Times New Roman"/>
        </w:rPr>
        <w:t>经设计单位确认的工程整体及典型视角效果图</w:t>
      </w:r>
      <w:r>
        <w:rPr>
          <w:rFonts w:hint="eastAsia" w:ascii="Times New Roman"/>
        </w:rPr>
        <w:t>。</w:t>
      </w:r>
    </w:p>
    <w:p w14:paraId="545BF875">
      <w:pPr>
        <w:pStyle w:val="80"/>
        <w:numPr>
          <w:ilvl w:val="0"/>
          <w:numId w:val="0"/>
        </w:numPr>
        <w:spacing w:before="156" w:beforeLines="50" w:after="156"/>
        <w:jc w:val="left"/>
        <w:rPr>
          <w:rFonts w:ascii="Times New Roman"/>
        </w:rPr>
      </w:pPr>
      <w:bookmarkStart w:id="181" w:name="_Toc7550"/>
      <w:r>
        <w:rPr>
          <w:rFonts w:hint="eastAsia" w:ascii="Times New Roman"/>
        </w:rPr>
        <w:t>D</w:t>
      </w:r>
      <w:r>
        <w:rPr>
          <w:rFonts w:ascii="Times New Roman"/>
        </w:rPr>
        <w:t xml:space="preserve">.5 </w:t>
      </w:r>
      <w:r>
        <w:rPr>
          <w:rFonts w:hint="eastAsia" w:ascii="Times New Roman"/>
        </w:rPr>
        <w:t>评价结论</w:t>
      </w:r>
      <w:bookmarkEnd w:id="181"/>
    </w:p>
    <w:p w14:paraId="763B85DF">
      <w:pPr>
        <w:pStyle w:val="60"/>
        <w:spacing w:line="360" w:lineRule="auto"/>
        <w:ind w:firstLine="420"/>
        <w:rPr>
          <w:rFonts w:ascii="Times New Roman"/>
        </w:rPr>
      </w:pPr>
      <w:r>
        <w:rPr>
          <w:rFonts w:ascii="Times New Roman"/>
        </w:rPr>
        <w:t>汇总项目玻璃幕墙</w:t>
      </w:r>
      <w:r>
        <w:rPr>
          <w:rFonts w:hint="eastAsia" w:ascii="Times New Roman"/>
          <w:lang w:val="en-US" w:eastAsia="zh-CN"/>
        </w:rPr>
        <w:t>反射光</w:t>
      </w:r>
      <w:r>
        <w:rPr>
          <w:rFonts w:ascii="Times New Roman"/>
        </w:rPr>
        <w:t>影响分析结果</w:t>
      </w:r>
      <w:r>
        <w:rPr>
          <w:rFonts w:hint="eastAsia" w:ascii="Times New Roman"/>
          <w:lang w:eastAsia="zh-CN"/>
        </w:rPr>
        <w:t>，</w:t>
      </w:r>
      <w:r>
        <w:rPr>
          <w:rFonts w:hint="eastAsia" w:ascii="Times New Roman"/>
          <w:lang w:val="en-US" w:eastAsia="zh-CN"/>
        </w:rPr>
        <w:t>并给出反射光影响</w:t>
      </w:r>
      <w:r>
        <w:rPr>
          <w:rFonts w:ascii="Times New Roman"/>
        </w:rPr>
        <w:t>是否</w:t>
      </w:r>
      <w:r>
        <w:rPr>
          <w:rFonts w:hint="eastAsia" w:ascii="Times New Roman"/>
          <w:lang w:val="en-US" w:eastAsia="zh-CN"/>
        </w:rPr>
        <w:t>满足本标准要求</w:t>
      </w:r>
      <w:r>
        <w:rPr>
          <w:rFonts w:ascii="Times New Roman"/>
        </w:rPr>
        <w:t>的结论。</w:t>
      </w:r>
    </w:p>
    <w:p w14:paraId="451F73C8">
      <w:pPr>
        <w:pStyle w:val="60"/>
        <w:spacing w:line="360" w:lineRule="auto"/>
        <w:ind w:firstLine="0" w:firstLineChars="0"/>
        <w:rPr>
          <w:rFonts w:hint="eastAsia" w:ascii="Times New Roman"/>
        </w:rPr>
      </w:pPr>
    </w:p>
    <w:p w14:paraId="08685E45">
      <w:pPr>
        <w:pStyle w:val="60"/>
        <w:spacing w:line="360" w:lineRule="auto"/>
        <w:ind w:firstLine="420"/>
        <w:rPr>
          <w:rFonts w:ascii="Times New Roman"/>
        </w:rPr>
      </w:pPr>
    </w:p>
    <w:p w14:paraId="682121A5">
      <w:pPr>
        <w:pStyle w:val="60"/>
        <w:spacing w:line="360" w:lineRule="auto"/>
        <w:ind w:firstLine="420"/>
        <w:rPr>
          <w:rFonts w:ascii="Times New Roman"/>
        </w:rPr>
        <w:sectPr>
          <w:pgSz w:w="11906" w:h="16838"/>
          <w:pgMar w:top="1871" w:right="1134" w:bottom="1134" w:left="1134" w:header="1418" w:footer="1134" w:gutter="284"/>
          <w:pgBorders>
            <w:top w:val="none" w:sz="0" w:space="0"/>
            <w:left w:val="none" w:sz="0" w:space="0"/>
            <w:bottom w:val="none" w:sz="0" w:space="0"/>
            <w:right w:val="none" w:sz="0" w:space="0"/>
          </w:pgBorders>
          <w:cols w:space="425" w:num="1"/>
          <w:formProt w:val="0"/>
          <w:docGrid w:type="lines" w:linePitch="312" w:charSpace="0"/>
        </w:sectPr>
      </w:pPr>
    </w:p>
    <w:bookmarkEnd w:id="140"/>
    <w:p w14:paraId="28E963EF">
      <w:pPr>
        <w:pStyle w:val="67"/>
        <w:spacing w:before="124" w:after="156"/>
        <w:rPr>
          <w:rFonts w:ascii="Times New Roman" w:hAnsi="Times New Roman"/>
        </w:rPr>
      </w:pPr>
      <w:bookmarkStart w:id="182" w:name="_Toc3790"/>
      <w:bookmarkStart w:id="183" w:name="_Toc7837"/>
      <w:bookmarkStart w:id="184" w:name="_Toc61428366"/>
      <w:bookmarkStart w:id="185" w:name="BookMark6"/>
      <w:r>
        <w:rPr>
          <w:rFonts w:hint="eastAsia" w:ascii="Times New Roman" w:hAnsi="Times New Roman"/>
          <w:spacing w:val="105"/>
        </w:rPr>
        <w:t>参考文</w:t>
      </w:r>
      <w:r>
        <w:rPr>
          <w:rFonts w:hint="eastAsia" w:ascii="Times New Roman" w:hAnsi="Times New Roman"/>
        </w:rPr>
        <w:t>献</w:t>
      </w:r>
      <w:bookmarkEnd w:id="182"/>
      <w:bookmarkEnd w:id="183"/>
      <w:bookmarkEnd w:id="184"/>
    </w:p>
    <w:p w14:paraId="1CAB9B99">
      <w:pPr>
        <w:pStyle w:val="60"/>
        <w:numPr>
          <w:ilvl w:val="0"/>
          <w:numId w:val="38"/>
        </w:numPr>
        <w:ind w:firstLine="420"/>
        <w:rPr>
          <w:rFonts w:hint="eastAsia" w:ascii="Times New Roman"/>
        </w:rPr>
      </w:pPr>
      <w:r>
        <w:rPr>
          <w:rFonts w:ascii="Times New Roman"/>
        </w:rPr>
        <w:t xml:space="preserve">GB 50033-2013 </w:t>
      </w:r>
      <w:r>
        <w:rPr>
          <w:rFonts w:hint="eastAsia" w:ascii="Times New Roman"/>
        </w:rPr>
        <w:t>建筑采光设计标准</w:t>
      </w:r>
    </w:p>
    <w:p w14:paraId="5B4F25D3">
      <w:pPr>
        <w:pStyle w:val="60"/>
        <w:numPr>
          <w:ilvl w:val="0"/>
          <w:numId w:val="38"/>
        </w:numPr>
        <w:ind w:firstLine="420"/>
        <w:rPr>
          <w:rFonts w:hint="eastAsia" w:ascii="Times New Roman"/>
        </w:rPr>
      </w:pPr>
      <w:r>
        <w:rPr>
          <w:rFonts w:hint="eastAsia" w:ascii="Times New Roman"/>
          <w:lang w:val="en-US" w:eastAsia="zh-CN"/>
        </w:rPr>
        <w:t xml:space="preserve">GB 55016-2021 </w:t>
      </w:r>
      <w:r>
        <w:rPr>
          <w:rFonts w:hint="eastAsia" w:ascii="Times New Roman"/>
        </w:rPr>
        <w:t>建筑环境通用规范</w:t>
      </w:r>
    </w:p>
    <w:p w14:paraId="7E7CF2E7">
      <w:pPr>
        <w:pStyle w:val="60"/>
        <w:numPr>
          <w:ilvl w:val="0"/>
          <w:numId w:val="38"/>
        </w:numPr>
        <w:ind w:firstLine="420"/>
        <w:rPr>
          <w:rFonts w:ascii="Times New Roman"/>
        </w:rPr>
      </w:pPr>
      <w:r>
        <w:rPr>
          <w:rFonts w:ascii="Times New Roman"/>
        </w:rPr>
        <w:t>IEC 62471-2009 Photobiological safety of lamps and lamp systems</w:t>
      </w:r>
    </w:p>
    <w:p w14:paraId="1A7F7C36">
      <w:pPr>
        <w:pStyle w:val="60"/>
        <w:numPr>
          <w:ilvl w:val="0"/>
          <w:numId w:val="38"/>
        </w:numPr>
        <w:ind w:firstLine="420"/>
        <w:rPr>
          <w:rFonts w:ascii="Times New Roman"/>
        </w:rPr>
      </w:pPr>
      <w:r>
        <w:rPr>
          <w:rFonts w:ascii="Times New Roman"/>
        </w:rPr>
        <w:t>Clifford K. Ho</w:t>
      </w:r>
      <w:r>
        <w:rPr>
          <w:rFonts w:hint="eastAsia" w:ascii="Times New Roman"/>
        </w:rPr>
        <w:t xml:space="preserve">, </w:t>
      </w:r>
      <w:r>
        <w:rPr>
          <w:rFonts w:ascii="Times New Roman"/>
        </w:rPr>
        <w:t>Cheryl M.</w:t>
      </w:r>
      <w:r>
        <w:rPr>
          <w:rFonts w:hint="eastAsia" w:ascii="Times New Roman"/>
        </w:rPr>
        <w:t xml:space="preserve"> </w:t>
      </w:r>
      <w:r>
        <w:rPr>
          <w:rFonts w:ascii="Times New Roman"/>
        </w:rPr>
        <w:t>Ghanbari</w:t>
      </w:r>
      <w:r>
        <w:rPr>
          <w:rFonts w:hint="eastAsia" w:ascii="Times New Roman"/>
        </w:rPr>
        <w:t xml:space="preserve">, </w:t>
      </w:r>
      <w:r>
        <w:rPr>
          <w:rFonts w:ascii="Times New Roman"/>
        </w:rPr>
        <w:t>Richard B. Diver</w:t>
      </w:r>
      <w:r>
        <w:rPr>
          <w:rFonts w:hint="eastAsia" w:ascii="Times New Roman"/>
        </w:rPr>
        <w:t xml:space="preserve">. </w:t>
      </w:r>
      <w:r>
        <w:rPr>
          <w:rFonts w:ascii="Times New Roman"/>
        </w:rPr>
        <w:t>Methodology to Assess Potential</w:t>
      </w:r>
      <w:r>
        <w:rPr>
          <w:rFonts w:hint="eastAsia" w:ascii="Times New Roman"/>
        </w:rPr>
        <w:t xml:space="preserve"> </w:t>
      </w:r>
      <w:r>
        <w:rPr>
          <w:rFonts w:ascii="Times New Roman"/>
        </w:rPr>
        <w:t>Glint and Glare Hazards from</w:t>
      </w:r>
      <w:r>
        <w:rPr>
          <w:rFonts w:hint="eastAsia" w:ascii="Times New Roman"/>
        </w:rPr>
        <w:t xml:space="preserve"> </w:t>
      </w:r>
      <w:r>
        <w:rPr>
          <w:rFonts w:ascii="Times New Roman"/>
        </w:rPr>
        <w:t>Concentrating Solar Power</w:t>
      </w:r>
      <w:r>
        <w:rPr>
          <w:rFonts w:hint="eastAsia" w:ascii="Times New Roman"/>
        </w:rPr>
        <w:t xml:space="preserve"> </w:t>
      </w:r>
      <w:r>
        <w:rPr>
          <w:rFonts w:ascii="Times New Roman"/>
        </w:rPr>
        <w:t>Plants: Analytical Models and</w:t>
      </w:r>
      <w:r>
        <w:rPr>
          <w:rFonts w:hint="eastAsia" w:ascii="Times New Roman"/>
        </w:rPr>
        <w:t xml:space="preserve"> </w:t>
      </w:r>
      <w:r>
        <w:rPr>
          <w:rFonts w:ascii="Times New Roman"/>
        </w:rPr>
        <w:t>Experimental Validation</w:t>
      </w:r>
      <w:r>
        <w:rPr>
          <w:rFonts w:hint="eastAsia" w:ascii="Times New Roman"/>
        </w:rPr>
        <w:t xml:space="preserve">. </w:t>
      </w:r>
      <w:r>
        <w:rPr>
          <w:rFonts w:ascii="Times New Roman"/>
        </w:rPr>
        <w:t>Journal of Solar Energy Engineering</w:t>
      </w:r>
      <w:r>
        <w:rPr>
          <w:rFonts w:hint="eastAsia" w:ascii="Times New Roman"/>
        </w:rPr>
        <w:t>. Aug</w:t>
      </w:r>
      <w:r>
        <w:rPr>
          <w:rFonts w:ascii="Times New Roman"/>
        </w:rPr>
        <w:t xml:space="preserve"> 2011, 133</w:t>
      </w:r>
      <w:r>
        <w:rPr>
          <w:rFonts w:hint="eastAsia" w:ascii="Times New Roman"/>
        </w:rPr>
        <w:t>(</w:t>
      </w:r>
      <w:r>
        <w:rPr>
          <w:rFonts w:ascii="Times New Roman"/>
        </w:rPr>
        <w:t>031021-</w:t>
      </w:r>
      <w:r>
        <w:rPr>
          <w:rFonts w:hint="eastAsia" w:ascii="Times New Roman"/>
        </w:rPr>
        <w:t>1～</w:t>
      </w:r>
      <w:r>
        <w:rPr>
          <w:rFonts w:ascii="Times New Roman"/>
        </w:rPr>
        <w:t>9</w:t>
      </w:r>
      <w:r>
        <w:rPr>
          <w:rFonts w:hint="eastAsia" w:ascii="Times New Roman"/>
        </w:rPr>
        <w:t>)</w:t>
      </w:r>
    </w:p>
    <w:p w14:paraId="0CBAF85F">
      <w:pPr>
        <w:pStyle w:val="60"/>
        <w:ind w:firstLine="420"/>
        <w:rPr>
          <w:rFonts w:ascii="Times New Roman"/>
        </w:rPr>
      </w:pPr>
      <w:r>
        <w:rPr>
          <w:rFonts w:ascii="Times New Roman"/>
          <w:u w:val="single"/>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229235</wp:posOffset>
                </wp:positionV>
                <wp:extent cx="2091055" cy="0"/>
                <wp:effectExtent l="0" t="0" r="0" b="0"/>
                <wp:wrapNone/>
                <wp:docPr id="1821401243" name="AutoShape 71"/>
                <wp:cNvGraphicFramePr/>
                <a:graphic xmlns:a="http://schemas.openxmlformats.org/drawingml/2006/main">
                  <a:graphicData uri="http://schemas.microsoft.com/office/word/2010/wordprocessingShape">
                    <wps:wsp>
                      <wps:cNvCnPr>
                        <a:cxnSpLocks noChangeShapeType="1"/>
                      </wps:cNvCnPr>
                      <wps:spPr bwMode="auto">
                        <a:xfrm>
                          <a:off x="0" y="0"/>
                          <a:ext cx="2091055" cy="0"/>
                        </a:xfrm>
                        <a:prstGeom prst="straightConnector1">
                          <a:avLst/>
                        </a:prstGeom>
                        <a:noFill/>
                        <a:ln w="9525">
                          <a:solidFill>
                            <a:srgbClr val="000000"/>
                          </a:solidFill>
                          <a:round/>
                        </a:ln>
                      </wps:spPr>
                      <wps:bodyPr/>
                    </wps:wsp>
                  </a:graphicData>
                </a:graphic>
              </wp:anchor>
            </w:drawing>
          </mc:Choice>
          <mc:Fallback>
            <w:pict>
              <v:shape id="AutoShape 71" o:spid="_x0000_s1026" o:spt="32" type="#_x0000_t32" style="position:absolute;left:0pt;margin-top:18.05pt;height:0pt;width:164.65pt;mso-position-horizontal:center;mso-position-horizontal-relative:margin;z-index:251663360;mso-width-relative:page;mso-height-relative:page;" filled="f" stroked="t" coordsize="21600,21600" o:gfxdata="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uDu2dUAAAAGAQAADwAAAAAA&#10;AAABACAAAAAiAAAAZHJzL2Rvd25yZXYueG1sUEsBAhQAFAAAAAgAh07iQLBmFVXdAQAAvAMAAA4A&#10;AAAAAAAAAQAgAAAAJAEAAGRycy9lMm9Eb2MueG1sUEsFBgAAAAAGAAYAWQEAAHMFAAAAAA==&#10;">
                <v:fill on="f" focussize="0,0"/>
                <v:stroke color="#000000" joinstyle="round"/>
                <v:imagedata o:title=""/>
                <o:lock v:ext="edit" aspectratio="f"/>
              </v:shape>
            </w:pict>
          </mc:Fallback>
        </mc:AlternateContent>
      </w:r>
      <w:bookmarkEnd w:id="185"/>
    </w:p>
    <w:sectPr>
      <w:headerReference r:id="rId33" w:type="default"/>
      <w:footerReference r:id="rId35" w:type="default"/>
      <w:headerReference r:id="rId34" w:type="even"/>
      <w:footerReference r:id="rId36" w:type="even"/>
      <w:pgSz w:w="11906" w:h="16838"/>
      <w:pgMar w:top="1871" w:right="1134" w:bottom="1134" w:left="1134" w:header="1418" w:footer="1134" w:gutter="284"/>
      <w:pgBorders>
        <w:top w:val="none" w:sz="0" w:space="0"/>
        <w:left w:val="none" w:sz="0" w:space="0"/>
        <w:bottom w:val="none" w:sz="0" w:space="0"/>
        <w:right w:val="none" w:sz="0" w:space="0"/>
      </w:pgBorders>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0BAF3">
    <w:pPr>
      <w:pStyle w:val="19"/>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D771B">
    <w:pPr>
      <w:pStyle w:val="55"/>
    </w:pPr>
    <w:r>
      <w:fldChar w:fldCharType="begin"/>
    </w:r>
    <w:r>
      <w:instrText xml:space="preserve">PAGE   \* MERGEFORMAT</w:instrText>
    </w:r>
    <w:r>
      <w:fldChar w:fldCharType="separate"/>
    </w:r>
    <w:r>
      <w:rPr>
        <w:lang w:val="zh-CN"/>
      </w:rPr>
      <w:t>6</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740C">
    <w:pPr>
      <w:pStyle w:val="56"/>
    </w:pPr>
    <w:r>
      <w:fldChar w:fldCharType="begin"/>
    </w:r>
    <w:r>
      <w:instrText xml:space="preserve">PAGE   \* MERGEFORMAT</w:instrText>
    </w:r>
    <w:r>
      <w:fldChar w:fldCharType="separate"/>
    </w:r>
    <w:r>
      <w:rPr>
        <w:lang w:val="zh-CN"/>
      </w:rPr>
      <w:t>7</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8BD78">
    <w:pPr>
      <w:pStyle w:val="55"/>
    </w:pPr>
    <w:r>
      <w:fldChar w:fldCharType="begin"/>
    </w:r>
    <w:r>
      <w:instrText xml:space="preserve">PAGE   \* MERGEFORMAT</w:instrText>
    </w:r>
    <w:r>
      <w:fldChar w:fldCharType="separate"/>
    </w:r>
    <w:r>
      <w:rPr>
        <w:lang w:val="zh-CN"/>
      </w:rPr>
      <w:t>8</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6B6BE">
    <w:pPr>
      <w:pStyle w:val="56"/>
    </w:pPr>
    <w:r>
      <w:fldChar w:fldCharType="begin"/>
    </w:r>
    <w:r>
      <w:instrText xml:space="preserve">PAGE   \* MERGEFORMAT</w:instrText>
    </w:r>
    <w:r>
      <w:fldChar w:fldCharType="separate"/>
    </w:r>
    <w:r>
      <w:rPr>
        <w:lang w:val="zh-CN"/>
      </w:rPr>
      <w:t>7</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CDFFA">
    <w:pPr>
      <w:pStyle w:val="55"/>
    </w:pPr>
    <w:r>
      <w:fldChar w:fldCharType="begin"/>
    </w:r>
    <w:r>
      <w:instrText xml:space="preserve">PAGE   \* MERGEFORMAT</w:instrText>
    </w:r>
    <w:r>
      <w:fldChar w:fldCharType="separate"/>
    </w:r>
    <w:r>
      <w:rPr>
        <w:lang w:val="zh-CN"/>
      </w:rPr>
      <w:t>8</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4528D">
    <w:pPr>
      <w:pStyle w:val="56"/>
    </w:pPr>
    <w:r>
      <w:fldChar w:fldCharType="begin"/>
    </w:r>
    <w:r>
      <w:instrText xml:space="preserve">PAGE   \* MERGEFORMAT</w:instrText>
    </w:r>
    <w:r>
      <w:fldChar w:fldCharType="separate"/>
    </w:r>
    <w:r>
      <w:rPr>
        <w:lang w:val="zh-CN"/>
      </w:rPr>
      <w:t>9</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2E79F">
    <w:pPr>
      <w:pStyle w:val="55"/>
    </w:pPr>
    <w:r>
      <w:fldChar w:fldCharType="begin"/>
    </w:r>
    <w:r>
      <w:instrText xml:space="preserve">PAGE   \* MERGEFORMAT</w:instrText>
    </w:r>
    <w:r>
      <w:fldChar w:fldCharType="separate"/>
    </w:r>
    <w:r>
      <w:rPr>
        <w:lang w:val="zh-CN"/>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A7F0">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30922">
    <w:pPr>
      <w:pStyle w:val="56"/>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CCE8A">
    <w:pPr>
      <w:pStyle w:val="55"/>
    </w:pPr>
    <w:r>
      <w:fldChar w:fldCharType="begin"/>
    </w:r>
    <w:r>
      <w:instrText xml:space="preserve">PAGE   \* MERGEFORMAT</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D7F4">
    <w:pPr>
      <w:pStyle w:val="56"/>
    </w:pPr>
    <w:r>
      <w:fldChar w:fldCharType="begin"/>
    </w:r>
    <w:r>
      <w:instrText xml:space="preserve">PAGE   \* MERGEFORMAT</w:instrText>
    </w:r>
    <w:r>
      <w:fldChar w:fldCharType="separate"/>
    </w:r>
    <w:r>
      <w:rPr>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03AD">
    <w:pPr>
      <w:pStyle w:val="55"/>
    </w:pPr>
    <w:r>
      <w:fldChar w:fldCharType="begin"/>
    </w:r>
    <w:r>
      <w:instrText xml:space="preserve">PAGE   \* MERGEFORMAT</w:instrText>
    </w:r>
    <w:r>
      <w:fldChar w:fldCharType="separate"/>
    </w:r>
    <w:r>
      <w:rPr>
        <w:lang w:val="zh-CN"/>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7E0F4">
    <w:pPr>
      <w:pStyle w:val="56"/>
    </w:pPr>
    <w:r>
      <w:fldChar w:fldCharType="begin"/>
    </w:r>
    <w:r>
      <w:instrText xml:space="preserve">PAGE   \* MERGEFORMAT</w:instrText>
    </w:r>
    <w:r>
      <w:fldChar w:fldCharType="separate"/>
    </w:r>
    <w:r>
      <w:rPr>
        <w:lang w:val="zh-CN"/>
      </w:rPr>
      <w:t>3</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269B1">
    <w:pPr>
      <w:pStyle w:val="55"/>
    </w:pPr>
    <w:r>
      <w:fldChar w:fldCharType="begin"/>
    </w:r>
    <w:r>
      <w:instrText xml:space="preserve">PAGE   \* MERGEFORMAT</w:instrText>
    </w:r>
    <w:r>
      <w:fldChar w:fldCharType="separate"/>
    </w:r>
    <w:r>
      <w:rPr>
        <w:lang w:val="zh-CN"/>
      </w:rP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5AC29">
    <w:pPr>
      <w:pStyle w:val="56"/>
    </w:pPr>
    <w:r>
      <w:fldChar w:fldCharType="begin"/>
    </w:r>
    <w:r>
      <w:instrText xml:space="preserve">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CA889">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4B1E1">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129AE">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987D6">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18B76">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6D518">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CA1AA">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46A72">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05A35">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234CB">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0B133">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2E3B">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7EA6C">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877EF">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D2D08">
    <w:pPr>
      <w:pStyle w:val="66"/>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AFAC">
    <w:pPr>
      <w:pStyle w:val="65"/>
      <w:rPr>
        <w:rFonts w:hint="eastAsia"/>
      </w:rPr>
    </w:pPr>
    <w:r>
      <w:fldChar w:fldCharType="begin"/>
    </w:r>
    <w:r>
      <w:instrText xml:space="preserve"> STYLEREF  标准文件_文件编号  \* MERGEFORMAT </w:instrText>
    </w:r>
    <w:r>
      <w:fldChar w:fldCharType="separate"/>
    </w:r>
    <w:r>
      <w:t>GB/T 18091—202X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C4B74"/>
    <w:multiLevelType w:val="singleLevel"/>
    <w:tmpl w:val="935C4B74"/>
    <w:lvl w:ilvl="0" w:tentative="0">
      <w:start w:val="1"/>
      <w:numFmt w:val="lowerLetter"/>
      <w:suff w:val="space"/>
      <w:lvlText w:val="%1)"/>
      <w:lvlJc w:val="left"/>
    </w:lvl>
  </w:abstractNum>
  <w:abstractNum w:abstractNumId="1">
    <w:nsid w:val="99D768F9"/>
    <w:multiLevelType w:val="singleLevel"/>
    <w:tmpl w:val="99D768F9"/>
    <w:lvl w:ilvl="0" w:tentative="0">
      <w:start w:val="1"/>
      <w:numFmt w:val="lowerLetter"/>
      <w:suff w:val="space"/>
      <w:lvlText w:val="%1)"/>
      <w:lvlJc w:val="left"/>
    </w:lvl>
  </w:abstractNum>
  <w:abstractNum w:abstractNumId="2">
    <w:nsid w:val="F6700D06"/>
    <w:multiLevelType w:val="singleLevel"/>
    <w:tmpl w:val="F6700D06"/>
    <w:lvl w:ilvl="0" w:tentative="0">
      <w:start w:val="1"/>
      <w:numFmt w:val="decimal"/>
      <w:suff w:val="space"/>
      <w:lvlText w:val="[%1]"/>
      <w:lvlJc w:val="left"/>
    </w:lvl>
  </w:abstractNum>
  <w:abstractNum w:abstractNumId="3">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86937E9"/>
    <w:multiLevelType w:val="singleLevel"/>
    <w:tmpl w:val="086937E9"/>
    <w:lvl w:ilvl="0" w:tentative="0">
      <w:start w:val="1"/>
      <w:numFmt w:val="lowerLetter"/>
      <w:suff w:val="space"/>
      <w:lvlText w:val="%1)"/>
      <w:lvlJc w:val="left"/>
    </w:lvl>
  </w:abstractNum>
  <w:abstractNum w:abstractNumId="8">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1FC91163"/>
    <w:multiLevelType w:val="multilevel"/>
    <w:tmpl w:val="1FC91163"/>
    <w:lvl w:ilvl="0" w:tentative="0">
      <w:start w:val="1"/>
      <w:numFmt w:val="decimal"/>
      <w:pStyle w:val="238"/>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39"/>
      <w:suff w:val="nothing"/>
      <w:lvlText w:val="%1.%2.%3　"/>
      <w:lvlJc w:val="left"/>
      <w:pPr>
        <w:ind w:left="426" w:firstLine="0"/>
      </w:pPr>
      <w:rPr>
        <w:rFonts w:hint="eastAsia" w:ascii="黑体" w:hAnsi="Times New Roman" w:eastAsia="黑体"/>
        <w:b w:val="0"/>
        <w:i w:val="0"/>
        <w:sz w:val="21"/>
      </w:rPr>
    </w:lvl>
    <w:lvl w:ilvl="3" w:tentative="0">
      <w:start w:val="1"/>
      <w:numFmt w:val="decimal"/>
      <w:pStyle w:val="240"/>
      <w:suff w:val="nothing"/>
      <w:lvlText w:val="%1.%2.%3.%4　"/>
      <w:lvlJc w:val="left"/>
      <w:pPr>
        <w:ind w:left="0" w:firstLine="0"/>
      </w:pPr>
      <w:rPr>
        <w:rFonts w:hint="eastAsia" w:ascii="黑体" w:hAnsi="Times New Roman" w:eastAsia="黑体"/>
        <w:b w:val="0"/>
        <w:i w:val="0"/>
        <w:sz w:val="21"/>
      </w:rPr>
    </w:lvl>
    <w:lvl w:ilvl="4" w:tentative="0">
      <w:start w:val="1"/>
      <w:numFmt w:val="decimal"/>
      <w:pStyle w:val="241"/>
      <w:suff w:val="nothing"/>
      <w:lvlText w:val="%1.%2.%3.%4.%5　"/>
      <w:lvlJc w:val="left"/>
      <w:pPr>
        <w:ind w:left="0" w:firstLine="0"/>
      </w:pPr>
      <w:rPr>
        <w:rFonts w:hint="eastAsia" w:ascii="黑体" w:hAnsi="Times New Roman" w:eastAsia="黑体"/>
        <w:b w:val="0"/>
        <w:i w:val="0"/>
        <w:sz w:val="21"/>
      </w:rPr>
    </w:lvl>
    <w:lvl w:ilvl="5" w:tentative="0">
      <w:start w:val="1"/>
      <w:numFmt w:val="decimal"/>
      <w:pStyle w:val="24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7">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A7C348C"/>
    <w:multiLevelType w:val="singleLevel"/>
    <w:tmpl w:val="5A7C348C"/>
    <w:lvl w:ilvl="0" w:tentative="0">
      <w:start w:val="1"/>
      <w:numFmt w:val="lowerLetter"/>
      <w:suff w:val="space"/>
      <w:lvlText w:val="%1)"/>
      <w:lvlJc w:val="left"/>
    </w:lvl>
  </w:abstractNum>
  <w:abstractNum w:abstractNumId="26">
    <w:nsid w:val="5FFD3C5C"/>
    <w:multiLevelType w:val="singleLevel"/>
    <w:tmpl w:val="5FFD3C5C"/>
    <w:lvl w:ilvl="0" w:tentative="0">
      <w:start w:val="1"/>
      <w:numFmt w:val="lowerLetter"/>
      <w:suff w:val="space"/>
      <w:lvlText w:val="%1)"/>
      <w:lvlJc w:val="left"/>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46260FA"/>
    <w:multiLevelType w:val="multilevel"/>
    <w:tmpl w:val="646260FA"/>
    <w:lvl w:ilvl="0" w:tentative="0">
      <w:start w:val="1"/>
      <w:numFmt w:val="decimal"/>
      <w:pStyle w:val="116"/>
      <w:suff w:val="nothing"/>
      <w:lvlText w:val="表%1　"/>
      <w:lvlJc w:val="left"/>
      <w:pPr>
        <w:ind w:left="4395"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9">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0">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34"/>
  </w:num>
  <w:num w:numId="3">
    <w:abstractNumId w:val="9"/>
  </w:num>
  <w:num w:numId="4">
    <w:abstractNumId w:val="30"/>
  </w:num>
  <w:num w:numId="5">
    <w:abstractNumId w:val="23"/>
  </w:num>
  <w:num w:numId="6">
    <w:abstractNumId w:val="18"/>
  </w:num>
  <w:num w:numId="7">
    <w:abstractNumId w:val="12"/>
  </w:num>
  <w:num w:numId="8">
    <w:abstractNumId w:val="6"/>
  </w:num>
  <w:num w:numId="9">
    <w:abstractNumId w:val="13"/>
  </w:num>
  <w:num w:numId="10">
    <w:abstractNumId w:val="21"/>
  </w:num>
  <w:num w:numId="11">
    <w:abstractNumId w:val="32"/>
  </w:num>
  <w:num w:numId="12">
    <w:abstractNumId w:val="16"/>
  </w:num>
  <w:num w:numId="13">
    <w:abstractNumId w:val="17"/>
  </w:num>
  <w:num w:numId="14">
    <w:abstractNumId w:val="11"/>
  </w:num>
  <w:num w:numId="15">
    <w:abstractNumId w:val="24"/>
  </w:num>
  <w:num w:numId="16">
    <w:abstractNumId w:val="28"/>
  </w:num>
  <w:num w:numId="17">
    <w:abstractNumId w:val="22"/>
  </w:num>
  <w:num w:numId="18">
    <w:abstractNumId w:val="36"/>
  </w:num>
  <w:num w:numId="19">
    <w:abstractNumId w:val="20"/>
  </w:num>
  <w:num w:numId="20">
    <w:abstractNumId w:val="4"/>
  </w:num>
  <w:num w:numId="21">
    <w:abstractNumId w:val="15"/>
  </w:num>
  <w:num w:numId="22">
    <w:abstractNumId w:val="37"/>
  </w:num>
  <w:num w:numId="23">
    <w:abstractNumId w:val="27"/>
  </w:num>
  <w:num w:numId="24">
    <w:abstractNumId w:val="10"/>
  </w:num>
  <w:num w:numId="25">
    <w:abstractNumId w:val="33"/>
  </w:num>
  <w:num w:numId="26">
    <w:abstractNumId w:val="35"/>
  </w:num>
  <w:num w:numId="27">
    <w:abstractNumId w:val="5"/>
  </w:num>
  <w:num w:numId="28">
    <w:abstractNumId w:val="8"/>
  </w:num>
  <w:num w:numId="29">
    <w:abstractNumId w:val="19"/>
  </w:num>
  <w:num w:numId="30">
    <w:abstractNumId w:val="31"/>
  </w:num>
  <w:num w:numId="31">
    <w:abstractNumId w:val="29"/>
  </w:num>
  <w:num w:numId="32">
    <w:abstractNumId w:val="14"/>
  </w:num>
  <w:num w:numId="33">
    <w:abstractNumId w:val="7"/>
  </w:num>
  <w:num w:numId="34">
    <w:abstractNumId w:val="25"/>
  </w:num>
  <w:num w:numId="35">
    <w:abstractNumId w:val="1"/>
  </w:num>
  <w:num w:numId="36">
    <w:abstractNumId w:val="26"/>
  </w:num>
  <w:num w:numId="37">
    <w:abstractNumId w:val="0"/>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7801E9"/>
    <w:rsid w:val="0000040A"/>
    <w:rsid w:val="00000A94"/>
    <w:rsid w:val="00001972"/>
    <w:rsid w:val="00001D9A"/>
    <w:rsid w:val="00007B3A"/>
    <w:rsid w:val="000107E0"/>
    <w:rsid w:val="00011FDE"/>
    <w:rsid w:val="00012FFD"/>
    <w:rsid w:val="00014162"/>
    <w:rsid w:val="00014340"/>
    <w:rsid w:val="00016A9C"/>
    <w:rsid w:val="00022184"/>
    <w:rsid w:val="000223A9"/>
    <w:rsid w:val="00022762"/>
    <w:rsid w:val="000238E0"/>
    <w:rsid w:val="000249DB"/>
    <w:rsid w:val="00024B08"/>
    <w:rsid w:val="0002595E"/>
    <w:rsid w:val="0002659A"/>
    <w:rsid w:val="000303C3"/>
    <w:rsid w:val="000331D3"/>
    <w:rsid w:val="000346A5"/>
    <w:rsid w:val="000359C3"/>
    <w:rsid w:val="00035A7D"/>
    <w:rsid w:val="000422F0"/>
    <w:rsid w:val="0004249A"/>
    <w:rsid w:val="00043282"/>
    <w:rsid w:val="00044286"/>
    <w:rsid w:val="00045F28"/>
    <w:rsid w:val="00047F28"/>
    <w:rsid w:val="000503AA"/>
    <w:rsid w:val="000506A1"/>
    <w:rsid w:val="000515DD"/>
    <w:rsid w:val="00051D08"/>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27BA"/>
    <w:rsid w:val="00083D2C"/>
    <w:rsid w:val="00086AA1"/>
    <w:rsid w:val="00087A77"/>
    <w:rsid w:val="00090CA6"/>
    <w:rsid w:val="00092B8A"/>
    <w:rsid w:val="00092FB0"/>
    <w:rsid w:val="000934C5"/>
    <w:rsid w:val="00093D25"/>
    <w:rsid w:val="00094260"/>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046"/>
    <w:rsid w:val="000D4B9C"/>
    <w:rsid w:val="000D4EB6"/>
    <w:rsid w:val="000D753B"/>
    <w:rsid w:val="000E4C9E"/>
    <w:rsid w:val="000E6FD7"/>
    <w:rsid w:val="000F06E1"/>
    <w:rsid w:val="000F0E3C"/>
    <w:rsid w:val="000F19D5"/>
    <w:rsid w:val="000F4AEA"/>
    <w:rsid w:val="000F6501"/>
    <w:rsid w:val="000F67E9"/>
    <w:rsid w:val="001016A7"/>
    <w:rsid w:val="00103A53"/>
    <w:rsid w:val="00104926"/>
    <w:rsid w:val="00113B1E"/>
    <w:rsid w:val="001141E8"/>
    <w:rsid w:val="0011711C"/>
    <w:rsid w:val="00124E4F"/>
    <w:rsid w:val="001260B7"/>
    <w:rsid w:val="001265CB"/>
    <w:rsid w:val="001300AC"/>
    <w:rsid w:val="001321C6"/>
    <w:rsid w:val="001325C4"/>
    <w:rsid w:val="00133010"/>
    <w:rsid w:val="001337A1"/>
    <w:rsid w:val="001338EE"/>
    <w:rsid w:val="00133AAE"/>
    <w:rsid w:val="00135323"/>
    <w:rsid w:val="001356C4"/>
    <w:rsid w:val="00141114"/>
    <w:rsid w:val="00142969"/>
    <w:rsid w:val="001457E7"/>
    <w:rsid w:val="00145CA1"/>
    <w:rsid w:val="00145D9D"/>
    <w:rsid w:val="00146388"/>
    <w:rsid w:val="001529E5"/>
    <w:rsid w:val="00153C7E"/>
    <w:rsid w:val="001564E0"/>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71D"/>
    <w:rsid w:val="00173FB1"/>
    <w:rsid w:val="00176DFD"/>
    <w:rsid w:val="001852C9"/>
    <w:rsid w:val="00190087"/>
    <w:rsid w:val="001913C4"/>
    <w:rsid w:val="0019348F"/>
    <w:rsid w:val="00193A07"/>
    <w:rsid w:val="00194C95"/>
    <w:rsid w:val="00195C34"/>
    <w:rsid w:val="001A1A53"/>
    <w:rsid w:val="001A234A"/>
    <w:rsid w:val="001A4CE0"/>
    <w:rsid w:val="001B06E8"/>
    <w:rsid w:val="001B65AE"/>
    <w:rsid w:val="001B71D0"/>
    <w:rsid w:val="001B71EE"/>
    <w:rsid w:val="001C04A8"/>
    <w:rsid w:val="001C2C03"/>
    <w:rsid w:val="001C2D80"/>
    <w:rsid w:val="001C3E75"/>
    <w:rsid w:val="001C42F7"/>
    <w:rsid w:val="001C49E5"/>
    <w:rsid w:val="001C680C"/>
    <w:rsid w:val="001C7FEA"/>
    <w:rsid w:val="001D0499"/>
    <w:rsid w:val="001D0BBE"/>
    <w:rsid w:val="001D0ED4"/>
    <w:rsid w:val="001D1C53"/>
    <w:rsid w:val="001D212F"/>
    <w:rsid w:val="001D29D7"/>
    <w:rsid w:val="001D2DE7"/>
    <w:rsid w:val="001D411C"/>
    <w:rsid w:val="001D588A"/>
    <w:rsid w:val="001E1B6A"/>
    <w:rsid w:val="001E2484"/>
    <w:rsid w:val="001E3CC4"/>
    <w:rsid w:val="001E4882"/>
    <w:rsid w:val="001E4EED"/>
    <w:rsid w:val="001E73AB"/>
    <w:rsid w:val="001F092D"/>
    <w:rsid w:val="001F143A"/>
    <w:rsid w:val="001F1605"/>
    <w:rsid w:val="001F2508"/>
    <w:rsid w:val="001F4816"/>
    <w:rsid w:val="001F69B4"/>
    <w:rsid w:val="001F70DC"/>
    <w:rsid w:val="001F77C7"/>
    <w:rsid w:val="00200183"/>
    <w:rsid w:val="0020107D"/>
    <w:rsid w:val="0020141D"/>
    <w:rsid w:val="00202AA4"/>
    <w:rsid w:val="002031F7"/>
    <w:rsid w:val="002040E6"/>
    <w:rsid w:val="0020527B"/>
    <w:rsid w:val="00210B15"/>
    <w:rsid w:val="002142EA"/>
    <w:rsid w:val="002204BB"/>
    <w:rsid w:val="00220BC1"/>
    <w:rsid w:val="00221B79"/>
    <w:rsid w:val="00221C6B"/>
    <w:rsid w:val="002244C6"/>
    <w:rsid w:val="002253A1"/>
    <w:rsid w:val="00225CF8"/>
    <w:rsid w:val="0022794E"/>
    <w:rsid w:val="00230B54"/>
    <w:rsid w:val="00233D64"/>
    <w:rsid w:val="0023482A"/>
    <w:rsid w:val="002359CB"/>
    <w:rsid w:val="002360A5"/>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7440B"/>
    <w:rsid w:val="00281BB8"/>
    <w:rsid w:val="00281E9E"/>
    <w:rsid w:val="00285089"/>
    <w:rsid w:val="00285170"/>
    <w:rsid w:val="00285361"/>
    <w:rsid w:val="002876CB"/>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3AE7"/>
    <w:rsid w:val="002B4508"/>
    <w:rsid w:val="002B5381"/>
    <w:rsid w:val="002B5779"/>
    <w:rsid w:val="002B7332"/>
    <w:rsid w:val="002B7F51"/>
    <w:rsid w:val="002C09E7"/>
    <w:rsid w:val="002C1B28"/>
    <w:rsid w:val="002C3F07"/>
    <w:rsid w:val="002C5278"/>
    <w:rsid w:val="002C7EBB"/>
    <w:rsid w:val="002D06C1"/>
    <w:rsid w:val="002D42B5"/>
    <w:rsid w:val="002D4F1A"/>
    <w:rsid w:val="002D58D8"/>
    <w:rsid w:val="002D6EC6"/>
    <w:rsid w:val="002D79AC"/>
    <w:rsid w:val="002E039D"/>
    <w:rsid w:val="002E4D5A"/>
    <w:rsid w:val="002E6326"/>
    <w:rsid w:val="002E6B50"/>
    <w:rsid w:val="002E7A9C"/>
    <w:rsid w:val="002F30E0"/>
    <w:rsid w:val="002F35E4"/>
    <w:rsid w:val="002F3730"/>
    <w:rsid w:val="002F38E1"/>
    <w:rsid w:val="002F7623"/>
    <w:rsid w:val="002F7AF6"/>
    <w:rsid w:val="00300E63"/>
    <w:rsid w:val="00302342"/>
    <w:rsid w:val="00302F5F"/>
    <w:rsid w:val="0030441D"/>
    <w:rsid w:val="00306063"/>
    <w:rsid w:val="00313B85"/>
    <w:rsid w:val="00314BDF"/>
    <w:rsid w:val="00315BBE"/>
    <w:rsid w:val="00317988"/>
    <w:rsid w:val="00320E82"/>
    <w:rsid w:val="003221B4"/>
    <w:rsid w:val="00322E62"/>
    <w:rsid w:val="00324EDD"/>
    <w:rsid w:val="00336C64"/>
    <w:rsid w:val="00337162"/>
    <w:rsid w:val="0034194F"/>
    <w:rsid w:val="00344605"/>
    <w:rsid w:val="003474AA"/>
    <w:rsid w:val="00350D1D"/>
    <w:rsid w:val="00352C83"/>
    <w:rsid w:val="00353E3D"/>
    <w:rsid w:val="003556D8"/>
    <w:rsid w:val="003615D2"/>
    <w:rsid w:val="0036429C"/>
    <w:rsid w:val="0036434F"/>
    <w:rsid w:val="00364A53"/>
    <w:rsid w:val="003654CB"/>
    <w:rsid w:val="00365F86"/>
    <w:rsid w:val="00365F87"/>
    <w:rsid w:val="00367B55"/>
    <w:rsid w:val="003705F4"/>
    <w:rsid w:val="00370D58"/>
    <w:rsid w:val="00371316"/>
    <w:rsid w:val="003724CE"/>
    <w:rsid w:val="00376713"/>
    <w:rsid w:val="00381815"/>
    <w:rsid w:val="003819AF"/>
    <w:rsid w:val="003820E9"/>
    <w:rsid w:val="00382DE7"/>
    <w:rsid w:val="00384FFC"/>
    <w:rsid w:val="003872FC"/>
    <w:rsid w:val="00387ADC"/>
    <w:rsid w:val="00390020"/>
    <w:rsid w:val="003903D6"/>
    <w:rsid w:val="00390EE6"/>
    <w:rsid w:val="0039118F"/>
    <w:rsid w:val="00391634"/>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25B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63C4"/>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183"/>
    <w:rsid w:val="00452A98"/>
    <w:rsid w:val="00452D6B"/>
    <w:rsid w:val="00453D5A"/>
    <w:rsid w:val="00454484"/>
    <w:rsid w:val="0045517B"/>
    <w:rsid w:val="00463B77"/>
    <w:rsid w:val="00463C7B"/>
    <w:rsid w:val="004644A6"/>
    <w:rsid w:val="004659BD"/>
    <w:rsid w:val="00470775"/>
    <w:rsid w:val="00471F26"/>
    <w:rsid w:val="00473B03"/>
    <w:rsid w:val="004746B1"/>
    <w:rsid w:val="0047583F"/>
    <w:rsid w:val="00484936"/>
    <w:rsid w:val="00485C89"/>
    <w:rsid w:val="00486BE3"/>
    <w:rsid w:val="00487CE8"/>
    <w:rsid w:val="004905E4"/>
    <w:rsid w:val="00490A89"/>
    <w:rsid w:val="00490AB4"/>
    <w:rsid w:val="00492F02"/>
    <w:rsid w:val="004939AE"/>
    <w:rsid w:val="004A05D4"/>
    <w:rsid w:val="004A108A"/>
    <w:rsid w:val="004A12DF"/>
    <w:rsid w:val="004A1BA8"/>
    <w:rsid w:val="004A34AE"/>
    <w:rsid w:val="004A4B57"/>
    <w:rsid w:val="004A63FA"/>
    <w:rsid w:val="004B2701"/>
    <w:rsid w:val="004B2E1B"/>
    <w:rsid w:val="004B3E93"/>
    <w:rsid w:val="004C1FBC"/>
    <w:rsid w:val="004C3F1D"/>
    <w:rsid w:val="004C458D"/>
    <w:rsid w:val="004C7556"/>
    <w:rsid w:val="004C7E9D"/>
    <w:rsid w:val="004C7F67"/>
    <w:rsid w:val="004D076D"/>
    <w:rsid w:val="004D0EF1"/>
    <w:rsid w:val="004D0F69"/>
    <w:rsid w:val="004D2253"/>
    <w:rsid w:val="004D4406"/>
    <w:rsid w:val="004D7C42"/>
    <w:rsid w:val="004E0465"/>
    <w:rsid w:val="004E0CC9"/>
    <w:rsid w:val="004E127B"/>
    <w:rsid w:val="004E1C0A"/>
    <w:rsid w:val="004E30C5"/>
    <w:rsid w:val="004E3DD7"/>
    <w:rsid w:val="004E4AA5"/>
    <w:rsid w:val="004E4AEE"/>
    <w:rsid w:val="004E4BDF"/>
    <w:rsid w:val="004E59E3"/>
    <w:rsid w:val="004E67C0"/>
    <w:rsid w:val="004F391A"/>
    <w:rsid w:val="004F3CFB"/>
    <w:rsid w:val="004F500A"/>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4D5"/>
    <w:rsid w:val="00516B0B"/>
    <w:rsid w:val="005220EC"/>
    <w:rsid w:val="005223F7"/>
    <w:rsid w:val="00523F95"/>
    <w:rsid w:val="00524D65"/>
    <w:rsid w:val="00525B16"/>
    <w:rsid w:val="00533D04"/>
    <w:rsid w:val="00534804"/>
    <w:rsid w:val="00534BDF"/>
    <w:rsid w:val="005354EA"/>
    <w:rsid w:val="00535EC4"/>
    <w:rsid w:val="00535ED9"/>
    <w:rsid w:val="0053692B"/>
    <w:rsid w:val="00540C3B"/>
    <w:rsid w:val="00541853"/>
    <w:rsid w:val="00543BDA"/>
    <w:rsid w:val="005441CC"/>
    <w:rsid w:val="005479DA"/>
    <w:rsid w:val="00547BCC"/>
    <w:rsid w:val="0055013B"/>
    <w:rsid w:val="00551F6F"/>
    <w:rsid w:val="00555044"/>
    <w:rsid w:val="00556C68"/>
    <w:rsid w:val="00561475"/>
    <w:rsid w:val="00561618"/>
    <w:rsid w:val="005622C0"/>
    <w:rsid w:val="0056487B"/>
    <w:rsid w:val="00564FB9"/>
    <w:rsid w:val="00573D9E"/>
    <w:rsid w:val="005801E3"/>
    <w:rsid w:val="00581802"/>
    <w:rsid w:val="005836A8"/>
    <w:rsid w:val="00584262"/>
    <w:rsid w:val="00586630"/>
    <w:rsid w:val="00586FF8"/>
    <w:rsid w:val="00587ADD"/>
    <w:rsid w:val="00592BB1"/>
    <w:rsid w:val="00596160"/>
    <w:rsid w:val="005966E2"/>
    <w:rsid w:val="00597007"/>
    <w:rsid w:val="005A002E"/>
    <w:rsid w:val="005A0966"/>
    <w:rsid w:val="005A11B7"/>
    <w:rsid w:val="005A260B"/>
    <w:rsid w:val="005A4A1B"/>
    <w:rsid w:val="005A5186"/>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4C13"/>
    <w:rsid w:val="005D4F81"/>
    <w:rsid w:val="005D6A95"/>
    <w:rsid w:val="005D6B2C"/>
    <w:rsid w:val="005D6D9C"/>
    <w:rsid w:val="005E2335"/>
    <w:rsid w:val="005E34CA"/>
    <w:rsid w:val="005E3C18"/>
    <w:rsid w:val="005E7881"/>
    <w:rsid w:val="005E78E0"/>
    <w:rsid w:val="005F0D9C"/>
    <w:rsid w:val="005F284E"/>
    <w:rsid w:val="005F7F14"/>
    <w:rsid w:val="006002B2"/>
    <w:rsid w:val="006015CE"/>
    <w:rsid w:val="00604784"/>
    <w:rsid w:val="00606007"/>
    <w:rsid w:val="00606419"/>
    <w:rsid w:val="00607D29"/>
    <w:rsid w:val="00610C31"/>
    <w:rsid w:val="00612952"/>
    <w:rsid w:val="00614CC1"/>
    <w:rsid w:val="00615A9D"/>
    <w:rsid w:val="006162BE"/>
    <w:rsid w:val="00616BBB"/>
    <w:rsid w:val="00617387"/>
    <w:rsid w:val="006208F7"/>
    <w:rsid w:val="00622DF9"/>
    <w:rsid w:val="006252D8"/>
    <w:rsid w:val="006259BC"/>
    <w:rsid w:val="0062636B"/>
    <w:rsid w:val="00632182"/>
    <w:rsid w:val="00632AE0"/>
    <w:rsid w:val="00633C17"/>
    <w:rsid w:val="00636E3E"/>
    <w:rsid w:val="006379F7"/>
    <w:rsid w:val="00637E4D"/>
    <w:rsid w:val="00640620"/>
    <w:rsid w:val="00641A1F"/>
    <w:rsid w:val="00642EFB"/>
    <w:rsid w:val="00644BF3"/>
    <w:rsid w:val="00645904"/>
    <w:rsid w:val="00651ACB"/>
    <w:rsid w:val="00651C47"/>
    <w:rsid w:val="00652AB2"/>
    <w:rsid w:val="006541E3"/>
    <w:rsid w:val="00654EC0"/>
    <w:rsid w:val="0065525B"/>
    <w:rsid w:val="00655D4F"/>
    <w:rsid w:val="00660FA4"/>
    <w:rsid w:val="006640E5"/>
    <w:rsid w:val="006646F1"/>
    <w:rsid w:val="00664929"/>
    <w:rsid w:val="00664F62"/>
    <w:rsid w:val="006655E1"/>
    <w:rsid w:val="00672060"/>
    <w:rsid w:val="00672BFD"/>
    <w:rsid w:val="006770F4"/>
    <w:rsid w:val="00677389"/>
    <w:rsid w:val="00677A84"/>
    <w:rsid w:val="0068026D"/>
    <w:rsid w:val="00680A27"/>
    <w:rsid w:val="006816A4"/>
    <w:rsid w:val="006819B8"/>
    <w:rsid w:val="006840A6"/>
    <w:rsid w:val="006850CD"/>
    <w:rsid w:val="00685AAB"/>
    <w:rsid w:val="006A07AA"/>
    <w:rsid w:val="006A25E5"/>
    <w:rsid w:val="006A2B46"/>
    <w:rsid w:val="006A336D"/>
    <w:rsid w:val="006A37B9"/>
    <w:rsid w:val="006A6DAA"/>
    <w:rsid w:val="006B052C"/>
    <w:rsid w:val="006B228E"/>
    <w:rsid w:val="006B2672"/>
    <w:rsid w:val="006B3646"/>
    <w:rsid w:val="006B54BF"/>
    <w:rsid w:val="006B5CE8"/>
    <w:rsid w:val="006B5F44"/>
    <w:rsid w:val="006B5F90"/>
    <w:rsid w:val="006B62E4"/>
    <w:rsid w:val="006C1BBA"/>
    <w:rsid w:val="006C2079"/>
    <w:rsid w:val="006C5A62"/>
    <w:rsid w:val="006C5D68"/>
    <w:rsid w:val="006C6976"/>
    <w:rsid w:val="006C6DD0"/>
    <w:rsid w:val="006D04EA"/>
    <w:rsid w:val="006D16C4"/>
    <w:rsid w:val="006D1C6A"/>
    <w:rsid w:val="006D1E79"/>
    <w:rsid w:val="006D3E96"/>
    <w:rsid w:val="006D4515"/>
    <w:rsid w:val="006D4BB1"/>
    <w:rsid w:val="006D5177"/>
    <w:rsid w:val="006D6593"/>
    <w:rsid w:val="006F03A8"/>
    <w:rsid w:val="006F121F"/>
    <w:rsid w:val="006F2ACA"/>
    <w:rsid w:val="006F2ADC"/>
    <w:rsid w:val="006F2BFE"/>
    <w:rsid w:val="006F2FBD"/>
    <w:rsid w:val="006F31E9"/>
    <w:rsid w:val="006F59B3"/>
    <w:rsid w:val="006F6284"/>
    <w:rsid w:val="007002C5"/>
    <w:rsid w:val="00704387"/>
    <w:rsid w:val="00707669"/>
    <w:rsid w:val="00711CBA"/>
    <w:rsid w:val="00711FB5"/>
    <w:rsid w:val="007121F2"/>
    <w:rsid w:val="00712A01"/>
    <w:rsid w:val="00714171"/>
    <w:rsid w:val="00714F58"/>
    <w:rsid w:val="00717C79"/>
    <w:rsid w:val="007220DC"/>
    <w:rsid w:val="00722FBF"/>
    <w:rsid w:val="00722FC2"/>
    <w:rsid w:val="00725949"/>
    <w:rsid w:val="00727FA2"/>
    <w:rsid w:val="007322D9"/>
    <w:rsid w:val="00732BC0"/>
    <w:rsid w:val="0073720F"/>
    <w:rsid w:val="00737796"/>
    <w:rsid w:val="00737DF3"/>
    <w:rsid w:val="0074165C"/>
    <w:rsid w:val="007432CA"/>
    <w:rsid w:val="007438DD"/>
    <w:rsid w:val="00743987"/>
    <w:rsid w:val="007439EB"/>
    <w:rsid w:val="00743CB4"/>
    <w:rsid w:val="00743F0A"/>
    <w:rsid w:val="007444E8"/>
    <w:rsid w:val="0074548E"/>
    <w:rsid w:val="00745773"/>
    <w:rsid w:val="00746800"/>
    <w:rsid w:val="007501A8"/>
    <w:rsid w:val="00750EE1"/>
    <w:rsid w:val="00751C3F"/>
    <w:rsid w:val="00752B4D"/>
    <w:rsid w:val="00755402"/>
    <w:rsid w:val="00756B26"/>
    <w:rsid w:val="00756EDF"/>
    <w:rsid w:val="007609A2"/>
    <w:rsid w:val="00765C43"/>
    <w:rsid w:val="00765EFB"/>
    <w:rsid w:val="007671CA"/>
    <w:rsid w:val="00767C61"/>
    <w:rsid w:val="0077008A"/>
    <w:rsid w:val="00773C1F"/>
    <w:rsid w:val="007743DA"/>
    <w:rsid w:val="00774DA4"/>
    <w:rsid w:val="00776599"/>
    <w:rsid w:val="007801E9"/>
    <w:rsid w:val="0078114B"/>
    <w:rsid w:val="00781DD2"/>
    <w:rsid w:val="00783ECF"/>
    <w:rsid w:val="0078413A"/>
    <w:rsid w:val="00787E3F"/>
    <w:rsid w:val="007959E8"/>
    <w:rsid w:val="00795E9C"/>
    <w:rsid w:val="007970C9"/>
    <w:rsid w:val="007A03DF"/>
    <w:rsid w:val="007A0521"/>
    <w:rsid w:val="007A2E12"/>
    <w:rsid w:val="007A3475"/>
    <w:rsid w:val="007A41C8"/>
    <w:rsid w:val="007A54CE"/>
    <w:rsid w:val="007A59DD"/>
    <w:rsid w:val="007A7556"/>
    <w:rsid w:val="007A7FFA"/>
    <w:rsid w:val="007B04EB"/>
    <w:rsid w:val="007B0D4F"/>
    <w:rsid w:val="007B5A3D"/>
    <w:rsid w:val="007B5B95"/>
    <w:rsid w:val="007B68EA"/>
    <w:rsid w:val="007C19E8"/>
    <w:rsid w:val="007C2D89"/>
    <w:rsid w:val="007C4593"/>
    <w:rsid w:val="007C5309"/>
    <w:rsid w:val="007C6069"/>
    <w:rsid w:val="007C6E80"/>
    <w:rsid w:val="007D06C4"/>
    <w:rsid w:val="007D1352"/>
    <w:rsid w:val="007D2508"/>
    <w:rsid w:val="007D346A"/>
    <w:rsid w:val="007D3A80"/>
    <w:rsid w:val="007D6518"/>
    <w:rsid w:val="007D76BD"/>
    <w:rsid w:val="007D78C1"/>
    <w:rsid w:val="007E0BF1"/>
    <w:rsid w:val="007E341C"/>
    <w:rsid w:val="007F0ED8"/>
    <w:rsid w:val="007F0F63"/>
    <w:rsid w:val="007F26CA"/>
    <w:rsid w:val="007F5FC1"/>
    <w:rsid w:val="007F75CE"/>
    <w:rsid w:val="008013A4"/>
    <w:rsid w:val="008027CE"/>
    <w:rsid w:val="00802F42"/>
    <w:rsid w:val="00804383"/>
    <w:rsid w:val="00804BB7"/>
    <w:rsid w:val="00810257"/>
    <w:rsid w:val="008104F5"/>
    <w:rsid w:val="00811072"/>
    <w:rsid w:val="00811369"/>
    <w:rsid w:val="00814E50"/>
    <w:rsid w:val="00815419"/>
    <w:rsid w:val="00815F04"/>
    <w:rsid w:val="008163C8"/>
    <w:rsid w:val="00817325"/>
    <w:rsid w:val="008209E6"/>
    <w:rsid w:val="00823303"/>
    <w:rsid w:val="008233B2"/>
    <w:rsid w:val="00823A9F"/>
    <w:rsid w:val="00823C85"/>
    <w:rsid w:val="008240ED"/>
    <w:rsid w:val="00825138"/>
    <w:rsid w:val="00825E51"/>
    <w:rsid w:val="008269DD"/>
    <w:rsid w:val="00830621"/>
    <w:rsid w:val="0083348C"/>
    <w:rsid w:val="00836796"/>
    <w:rsid w:val="008373D3"/>
    <w:rsid w:val="00840617"/>
    <w:rsid w:val="00842747"/>
    <w:rsid w:val="00842A47"/>
    <w:rsid w:val="00843C13"/>
    <w:rsid w:val="008454F8"/>
    <w:rsid w:val="0085173A"/>
    <w:rsid w:val="00855604"/>
    <w:rsid w:val="008603CE"/>
    <w:rsid w:val="008620FC"/>
    <w:rsid w:val="008627A5"/>
    <w:rsid w:val="00863B3E"/>
    <w:rsid w:val="00863E05"/>
    <w:rsid w:val="00865ACA"/>
    <w:rsid w:val="00865D28"/>
    <w:rsid w:val="00865F85"/>
    <w:rsid w:val="00867C10"/>
    <w:rsid w:val="00870439"/>
    <w:rsid w:val="00870DA1"/>
    <w:rsid w:val="00876590"/>
    <w:rsid w:val="00883F93"/>
    <w:rsid w:val="00884DB3"/>
    <w:rsid w:val="00885A9D"/>
    <w:rsid w:val="008864F6"/>
    <w:rsid w:val="0089049D"/>
    <w:rsid w:val="0089058D"/>
    <w:rsid w:val="008928C9"/>
    <w:rsid w:val="008938DC"/>
    <w:rsid w:val="00893FD1"/>
    <w:rsid w:val="00894836"/>
    <w:rsid w:val="00895172"/>
    <w:rsid w:val="00895680"/>
    <w:rsid w:val="00896DFF"/>
    <w:rsid w:val="0089762C"/>
    <w:rsid w:val="008A1893"/>
    <w:rsid w:val="008A32D6"/>
    <w:rsid w:val="008A75CD"/>
    <w:rsid w:val="008A769A"/>
    <w:rsid w:val="008B0C9C"/>
    <w:rsid w:val="008B166D"/>
    <w:rsid w:val="008B17F4"/>
    <w:rsid w:val="008B3615"/>
    <w:rsid w:val="008B4AC4"/>
    <w:rsid w:val="008B50C8"/>
    <w:rsid w:val="008B5281"/>
    <w:rsid w:val="008B7E05"/>
    <w:rsid w:val="008B7FFD"/>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2E"/>
    <w:rsid w:val="00913CA9"/>
    <w:rsid w:val="009145AE"/>
    <w:rsid w:val="009146CE"/>
    <w:rsid w:val="00914CA7"/>
    <w:rsid w:val="00915C3E"/>
    <w:rsid w:val="009161A8"/>
    <w:rsid w:val="0091673D"/>
    <w:rsid w:val="00920A80"/>
    <w:rsid w:val="009216E1"/>
    <w:rsid w:val="009245F5"/>
    <w:rsid w:val="009249EC"/>
    <w:rsid w:val="00924E20"/>
    <w:rsid w:val="009273B3"/>
    <w:rsid w:val="00927685"/>
    <w:rsid w:val="009305B5"/>
    <w:rsid w:val="00934C12"/>
    <w:rsid w:val="009361DC"/>
    <w:rsid w:val="009374D4"/>
    <w:rsid w:val="00937859"/>
    <w:rsid w:val="009411B7"/>
    <w:rsid w:val="009429D5"/>
    <w:rsid w:val="00942BF1"/>
    <w:rsid w:val="00945180"/>
    <w:rsid w:val="00945428"/>
    <w:rsid w:val="0094607B"/>
    <w:rsid w:val="00953604"/>
    <w:rsid w:val="00955B7B"/>
    <w:rsid w:val="009610DC"/>
    <w:rsid w:val="00961490"/>
    <w:rsid w:val="0096381A"/>
    <w:rsid w:val="00963AA4"/>
    <w:rsid w:val="00965E04"/>
    <w:rsid w:val="009674AD"/>
    <w:rsid w:val="0097094E"/>
    <w:rsid w:val="00970CDC"/>
    <w:rsid w:val="00975557"/>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43"/>
    <w:rsid w:val="009B6971"/>
    <w:rsid w:val="009C27F1"/>
    <w:rsid w:val="009C3152"/>
    <w:rsid w:val="009C3B62"/>
    <w:rsid w:val="009C4CFA"/>
    <w:rsid w:val="009C5070"/>
    <w:rsid w:val="009D0E6C"/>
    <w:rsid w:val="009D112C"/>
    <w:rsid w:val="009D47FA"/>
    <w:rsid w:val="009D50D2"/>
    <w:rsid w:val="009D6BCA"/>
    <w:rsid w:val="009E0F62"/>
    <w:rsid w:val="009E4A58"/>
    <w:rsid w:val="009E5A2D"/>
    <w:rsid w:val="009E5AB2"/>
    <w:rsid w:val="009E6219"/>
    <w:rsid w:val="009F03B3"/>
    <w:rsid w:val="009F0566"/>
    <w:rsid w:val="009F4D27"/>
    <w:rsid w:val="00A01757"/>
    <w:rsid w:val="00A028C0"/>
    <w:rsid w:val="00A02BAE"/>
    <w:rsid w:val="00A0322B"/>
    <w:rsid w:val="00A03DB4"/>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3601E"/>
    <w:rsid w:val="00A363C7"/>
    <w:rsid w:val="00A40091"/>
    <w:rsid w:val="00A4030F"/>
    <w:rsid w:val="00A41C79"/>
    <w:rsid w:val="00A41CB5"/>
    <w:rsid w:val="00A42CDF"/>
    <w:rsid w:val="00A4452E"/>
    <w:rsid w:val="00A4472C"/>
    <w:rsid w:val="00A44E69"/>
    <w:rsid w:val="00A4661E"/>
    <w:rsid w:val="00A5579F"/>
    <w:rsid w:val="00A55BD6"/>
    <w:rsid w:val="00A55D50"/>
    <w:rsid w:val="00A56C02"/>
    <w:rsid w:val="00A57142"/>
    <w:rsid w:val="00A62098"/>
    <w:rsid w:val="00A648CD"/>
    <w:rsid w:val="00A6537A"/>
    <w:rsid w:val="00A67866"/>
    <w:rsid w:val="00A70B07"/>
    <w:rsid w:val="00A723F8"/>
    <w:rsid w:val="00A754AD"/>
    <w:rsid w:val="00A76EBF"/>
    <w:rsid w:val="00A77CCB"/>
    <w:rsid w:val="00A83D8D"/>
    <w:rsid w:val="00A8446B"/>
    <w:rsid w:val="00A8473F"/>
    <w:rsid w:val="00A862D6"/>
    <w:rsid w:val="00A8715E"/>
    <w:rsid w:val="00A9295B"/>
    <w:rsid w:val="00A93B09"/>
    <w:rsid w:val="00A952D7"/>
    <w:rsid w:val="00A963F7"/>
    <w:rsid w:val="00A96AD8"/>
    <w:rsid w:val="00A97332"/>
    <w:rsid w:val="00AA052C"/>
    <w:rsid w:val="00AA1E45"/>
    <w:rsid w:val="00AA2A24"/>
    <w:rsid w:val="00AA3CEC"/>
    <w:rsid w:val="00AA4286"/>
    <w:rsid w:val="00AA456B"/>
    <w:rsid w:val="00AA57F5"/>
    <w:rsid w:val="00AA672E"/>
    <w:rsid w:val="00AA6EC9"/>
    <w:rsid w:val="00AB6309"/>
    <w:rsid w:val="00AB6C5F"/>
    <w:rsid w:val="00AB7129"/>
    <w:rsid w:val="00AC27A6"/>
    <w:rsid w:val="00AC30F7"/>
    <w:rsid w:val="00AC3A5A"/>
    <w:rsid w:val="00AC4D95"/>
    <w:rsid w:val="00AC5DF4"/>
    <w:rsid w:val="00AC6723"/>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2D7E"/>
    <w:rsid w:val="00B049AF"/>
    <w:rsid w:val="00B07242"/>
    <w:rsid w:val="00B10093"/>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5113"/>
    <w:rsid w:val="00B56FBE"/>
    <w:rsid w:val="00B62B58"/>
    <w:rsid w:val="00B65149"/>
    <w:rsid w:val="00B66567"/>
    <w:rsid w:val="00B66F52"/>
    <w:rsid w:val="00B66FE5"/>
    <w:rsid w:val="00B72880"/>
    <w:rsid w:val="00B758BF"/>
    <w:rsid w:val="00B75CEB"/>
    <w:rsid w:val="00B827A6"/>
    <w:rsid w:val="00B831CE"/>
    <w:rsid w:val="00B86677"/>
    <w:rsid w:val="00B87131"/>
    <w:rsid w:val="00B91566"/>
    <w:rsid w:val="00B939B1"/>
    <w:rsid w:val="00B96D40"/>
    <w:rsid w:val="00B97386"/>
    <w:rsid w:val="00B97F0C"/>
    <w:rsid w:val="00BA263B"/>
    <w:rsid w:val="00BA42B2"/>
    <w:rsid w:val="00BA58D4"/>
    <w:rsid w:val="00BA5B9E"/>
    <w:rsid w:val="00BA7186"/>
    <w:rsid w:val="00BA7C9A"/>
    <w:rsid w:val="00BB4463"/>
    <w:rsid w:val="00BB5F8F"/>
    <w:rsid w:val="00BB657A"/>
    <w:rsid w:val="00BC1A4E"/>
    <w:rsid w:val="00BC3AF4"/>
    <w:rsid w:val="00BC4080"/>
    <w:rsid w:val="00BC59A1"/>
    <w:rsid w:val="00BC5DC7"/>
    <w:rsid w:val="00BC6B8B"/>
    <w:rsid w:val="00BC73D8"/>
    <w:rsid w:val="00BD52D7"/>
    <w:rsid w:val="00BD5AD2"/>
    <w:rsid w:val="00BD5FDB"/>
    <w:rsid w:val="00BD6082"/>
    <w:rsid w:val="00BE22F3"/>
    <w:rsid w:val="00BE5B52"/>
    <w:rsid w:val="00BE6F86"/>
    <w:rsid w:val="00BE7B8D"/>
    <w:rsid w:val="00BF0993"/>
    <w:rsid w:val="00BF10A9"/>
    <w:rsid w:val="00BF1703"/>
    <w:rsid w:val="00BF231C"/>
    <w:rsid w:val="00BF51E5"/>
    <w:rsid w:val="00BF74A6"/>
    <w:rsid w:val="00C00E87"/>
    <w:rsid w:val="00C013AD"/>
    <w:rsid w:val="00C021A4"/>
    <w:rsid w:val="00C04904"/>
    <w:rsid w:val="00C056B3"/>
    <w:rsid w:val="00C103E5"/>
    <w:rsid w:val="00C10CD5"/>
    <w:rsid w:val="00C118C4"/>
    <w:rsid w:val="00C13319"/>
    <w:rsid w:val="00C13EE9"/>
    <w:rsid w:val="00C14D87"/>
    <w:rsid w:val="00C21540"/>
    <w:rsid w:val="00C21906"/>
    <w:rsid w:val="00C21BFA"/>
    <w:rsid w:val="00C24C8D"/>
    <w:rsid w:val="00C25C73"/>
    <w:rsid w:val="00C25FE2"/>
    <w:rsid w:val="00C26B53"/>
    <w:rsid w:val="00C279B2"/>
    <w:rsid w:val="00C33E50"/>
    <w:rsid w:val="00C346E9"/>
    <w:rsid w:val="00C34C20"/>
    <w:rsid w:val="00C35A3E"/>
    <w:rsid w:val="00C403C2"/>
    <w:rsid w:val="00C42130"/>
    <w:rsid w:val="00C423A4"/>
    <w:rsid w:val="00C44BF5"/>
    <w:rsid w:val="00C55232"/>
    <w:rsid w:val="00C553A4"/>
    <w:rsid w:val="00C55A06"/>
    <w:rsid w:val="00C55D03"/>
    <w:rsid w:val="00C601BC"/>
    <w:rsid w:val="00C6329F"/>
    <w:rsid w:val="00C63340"/>
    <w:rsid w:val="00C643F9"/>
    <w:rsid w:val="00C64CC2"/>
    <w:rsid w:val="00C64E95"/>
    <w:rsid w:val="00C71372"/>
    <w:rsid w:val="00C72410"/>
    <w:rsid w:val="00C7287F"/>
    <w:rsid w:val="00C72F0E"/>
    <w:rsid w:val="00C775B6"/>
    <w:rsid w:val="00C77F77"/>
    <w:rsid w:val="00C806DC"/>
    <w:rsid w:val="00C80CB8"/>
    <w:rsid w:val="00C819F8"/>
    <w:rsid w:val="00C8208C"/>
    <w:rsid w:val="00C8248C"/>
    <w:rsid w:val="00C84C95"/>
    <w:rsid w:val="00C84E33"/>
    <w:rsid w:val="00C86D6F"/>
    <w:rsid w:val="00C905FC"/>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B7330"/>
    <w:rsid w:val="00CC038D"/>
    <w:rsid w:val="00CC32A8"/>
    <w:rsid w:val="00CC39FF"/>
    <w:rsid w:val="00CC3C2F"/>
    <w:rsid w:val="00CC4AC8"/>
    <w:rsid w:val="00CC5233"/>
    <w:rsid w:val="00CC5DE6"/>
    <w:rsid w:val="00CC6E4E"/>
    <w:rsid w:val="00CC6FE8"/>
    <w:rsid w:val="00CC7202"/>
    <w:rsid w:val="00CC7360"/>
    <w:rsid w:val="00CD0C71"/>
    <w:rsid w:val="00CD0DF3"/>
    <w:rsid w:val="00CD2808"/>
    <w:rsid w:val="00CD28BF"/>
    <w:rsid w:val="00CD4092"/>
    <w:rsid w:val="00CD4A20"/>
    <w:rsid w:val="00CD50A1"/>
    <w:rsid w:val="00CD519E"/>
    <w:rsid w:val="00CE0C4F"/>
    <w:rsid w:val="00CE30EA"/>
    <w:rsid w:val="00CE6E1A"/>
    <w:rsid w:val="00CE74B0"/>
    <w:rsid w:val="00CF048A"/>
    <w:rsid w:val="00CF155A"/>
    <w:rsid w:val="00CF2947"/>
    <w:rsid w:val="00CF2FAC"/>
    <w:rsid w:val="00CF566E"/>
    <w:rsid w:val="00CF62C0"/>
    <w:rsid w:val="00CF686F"/>
    <w:rsid w:val="00CF6E60"/>
    <w:rsid w:val="00CF7BCA"/>
    <w:rsid w:val="00D008FD"/>
    <w:rsid w:val="00D0321C"/>
    <w:rsid w:val="00D035EC"/>
    <w:rsid w:val="00D06AB1"/>
    <w:rsid w:val="00D072ED"/>
    <w:rsid w:val="00D07A16"/>
    <w:rsid w:val="00D1067E"/>
    <w:rsid w:val="00D10F50"/>
    <w:rsid w:val="00D11272"/>
    <w:rsid w:val="00D11C3A"/>
    <w:rsid w:val="00D1208A"/>
    <w:rsid w:val="00D126F5"/>
    <w:rsid w:val="00D13E8A"/>
    <w:rsid w:val="00D1489E"/>
    <w:rsid w:val="00D20737"/>
    <w:rsid w:val="00D21E81"/>
    <w:rsid w:val="00D223DE"/>
    <w:rsid w:val="00D25372"/>
    <w:rsid w:val="00D25E37"/>
    <w:rsid w:val="00D2661A"/>
    <w:rsid w:val="00D27582"/>
    <w:rsid w:val="00D3143C"/>
    <w:rsid w:val="00D32719"/>
    <w:rsid w:val="00D33333"/>
    <w:rsid w:val="00D33FFA"/>
    <w:rsid w:val="00D352A2"/>
    <w:rsid w:val="00D400D3"/>
    <w:rsid w:val="00D4162B"/>
    <w:rsid w:val="00D42632"/>
    <w:rsid w:val="00D4514F"/>
    <w:rsid w:val="00D451E2"/>
    <w:rsid w:val="00D4545E"/>
    <w:rsid w:val="00D458E8"/>
    <w:rsid w:val="00D45E89"/>
    <w:rsid w:val="00D45E8D"/>
    <w:rsid w:val="00D466AE"/>
    <w:rsid w:val="00D470BE"/>
    <w:rsid w:val="00D4734F"/>
    <w:rsid w:val="00D51BF3"/>
    <w:rsid w:val="00D63276"/>
    <w:rsid w:val="00D66846"/>
    <w:rsid w:val="00D66AA9"/>
    <w:rsid w:val="00D675FB"/>
    <w:rsid w:val="00D71F25"/>
    <w:rsid w:val="00D72258"/>
    <w:rsid w:val="00D7507F"/>
    <w:rsid w:val="00D77031"/>
    <w:rsid w:val="00D80574"/>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C7C6F"/>
    <w:rsid w:val="00DD00FF"/>
    <w:rsid w:val="00DD0619"/>
    <w:rsid w:val="00DD07FB"/>
    <w:rsid w:val="00DD24C5"/>
    <w:rsid w:val="00DD25C6"/>
    <w:rsid w:val="00DD54B0"/>
    <w:rsid w:val="00DD57EE"/>
    <w:rsid w:val="00DD6BCC"/>
    <w:rsid w:val="00DD7759"/>
    <w:rsid w:val="00DE0A4B"/>
    <w:rsid w:val="00DE2410"/>
    <w:rsid w:val="00DE2939"/>
    <w:rsid w:val="00DE51F0"/>
    <w:rsid w:val="00DE6E81"/>
    <w:rsid w:val="00DE703F"/>
    <w:rsid w:val="00DE7595"/>
    <w:rsid w:val="00DE7705"/>
    <w:rsid w:val="00DF1961"/>
    <w:rsid w:val="00DF44DE"/>
    <w:rsid w:val="00DF740F"/>
    <w:rsid w:val="00E001A8"/>
    <w:rsid w:val="00E01138"/>
    <w:rsid w:val="00E0120A"/>
    <w:rsid w:val="00E024B5"/>
    <w:rsid w:val="00E02DFB"/>
    <w:rsid w:val="00E030F9"/>
    <w:rsid w:val="00E0311A"/>
    <w:rsid w:val="00E03138"/>
    <w:rsid w:val="00E06404"/>
    <w:rsid w:val="00E06862"/>
    <w:rsid w:val="00E11A85"/>
    <w:rsid w:val="00E12495"/>
    <w:rsid w:val="00E15CCD"/>
    <w:rsid w:val="00E202EF"/>
    <w:rsid w:val="00E210B5"/>
    <w:rsid w:val="00E2552F"/>
    <w:rsid w:val="00E3137A"/>
    <w:rsid w:val="00E32CCF"/>
    <w:rsid w:val="00E34A98"/>
    <w:rsid w:val="00E35D1E"/>
    <w:rsid w:val="00E364F9"/>
    <w:rsid w:val="00E365FA"/>
    <w:rsid w:val="00E36B35"/>
    <w:rsid w:val="00E40C88"/>
    <w:rsid w:val="00E40C94"/>
    <w:rsid w:val="00E44A83"/>
    <w:rsid w:val="00E47A48"/>
    <w:rsid w:val="00E502C1"/>
    <w:rsid w:val="00E502DD"/>
    <w:rsid w:val="00E50D3A"/>
    <w:rsid w:val="00E51387"/>
    <w:rsid w:val="00E51418"/>
    <w:rsid w:val="00E51E68"/>
    <w:rsid w:val="00E52EFD"/>
    <w:rsid w:val="00E5408A"/>
    <w:rsid w:val="00E545D1"/>
    <w:rsid w:val="00E5472F"/>
    <w:rsid w:val="00E56800"/>
    <w:rsid w:val="00E60CD7"/>
    <w:rsid w:val="00E62FF9"/>
    <w:rsid w:val="00E635D6"/>
    <w:rsid w:val="00E639BC"/>
    <w:rsid w:val="00E65C0F"/>
    <w:rsid w:val="00E664CC"/>
    <w:rsid w:val="00E70388"/>
    <w:rsid w:val="00E70F92"/>
    <w:rsid w:val="00E74C54"/>
    <w:rsid w:val="00E77A03"/>
    <w:rsid w:val="00E811D5"/>
    <w:rsid w:val="00E81C7E"/>
    <w:rsid w:val="00E822E8"/>
    <w:rsid w:val="00E82554"/>
    <w:rsid w:val="00E82606"/>
    <w:rsid w:val="00E846C8"/>
    <w:rsid w:val="00E84957"/>
    <w:rsid w:val="00E84A55"/>
    <w:rsid w:val="00E85BFF"/>
    <w:rsid w:val="00E90391"/>
    <w:rsid w:val="00E906C2"/>
    <w:rsid w:val="00E9311F"/>
    <w:rsid w:val="00E934D1"/>
    <w:rsid w:val="00E93A50"/>
    <w:rsid w:val="00E94AF0"/>
    <w:rsid w:val="00E95D13"/>
    <w:rsid w:val="00E95DD3"/>
    <w:rsid w:val="00E969D5"/>
    <w:rsid w:val="00EA0761"/>
    <w:rsid w:val="00EA195D"/>
    <w:rsid w:val="00EA58D1"/>
    <w:rsid w:val="00EA61BC"/>
    <w:rsid w:val="00EA681A"/>
    <w:rsid w:val="00EA735B"/>
    <w:rsid w:val="00EB1E69"/>
    <w:rsid w:val="00EB2086"/>
    <w:rsid w:val="00EB5EDF"/>
    <w:rsid w:val="00EB60FE"/>
    <w:rsid w:val="00EB74DB"/>
    <w:rsid w:val="00EC0678"/>
    <w:rsid w:val="00EC5359"/>
    <w:rsid w:val="00EC562A"/>
    <w:rsid w:val="00EC68DF"/>
    <w:rsid w:val="00ED067A"/>
    <w:rsid w:val="00ED2B50"/>
    <w:rsid w:val="00EE0350"/>
    <w:rsid w:val="00EE0719"/>
    <w:rsid w:val="00EE0E80"/>
    <w:rsid w:val="00EE613F"/>
    <w:rsid w:val="00EE7295"/>
    <w:rsid w:val="00EE7869"/>
    <w:rsid w:val="00EF054A"/>
    <w:rsid w:val="00EF3235"/>
    <w:rsid w:val="00EF7C3E"/>
    <w:rsid w:val="00EF7D5C"/>
    <w:rsid w:val="00EF7E72"/>
    <w:rsid w:val="00F0543C"/>
    <w:rsid w:val="00F06D37"/>
    <w:rsid w:val="00F07B9D"/>
    <w:rsid w:val="00F114F5"/>
    <w:rsid w:val="00F11586"/>
    <w:rsid w:val="00F1183B"/>
    <w:rsid w:val="00F11C9F"/>
    <w:rsid w:val="00F12263"/>
    <w:rsid w:val="00F1409D"/>
    <w:rsid w:val="00F14214"/>
    <w:rsid w:val="00F146BD"/>
    <w:rsid w:val="00F157A9"/>
    <w:rsid w:val="00F21911"/>
    <w:rsid w:val="00F25BB6"/>
    <w:rsid w:val="00F26B7E"/>
    <w:rsid w:val="00F27A3B"/>
    <w:rsid w:val="00F33817"/>
    <w:rsid w:val="00F406E6"/>
    <w:rsid w:val="00F420D5"/>
    <w:rsid w:val="00F439D8"/>
    <w:rsid w:val="00F43B3B"/>
    <w:rsid w:val="00F451EA"/>
    <w:rsid w:val="00F45447"/>
    <w:rsid w:val="00F456C6"/>
    <w:rsid w:val="00F4577B"/>
    <w:rsid w:val="00F46496"/>
    <w:rsid w:val="00F474D0"/>
    <w:rsid w:val="00F50179"/>
    <w:rsid w:val="00F51501"/>
    <w:rsid w:val="00F56511"/>
    <w:rsid w:val="00F6194E"/>
    <w:rsid w:val="00F623AC"/>
    <w:rsid w:val="00F6412A"/>
    <w:rsid w:val="00F65893"/>
    <w:rsid w:val="00F66A4A"/>
    <w:rsid w:val="00F71E22"/>
    <w:rsid w:val="00F72142"/>
    <w:rsid w:val="00F72AE7"/>
    <w:rsid w:val="00F75604"/>
    <w:rsid w:val="00F84934"/>
    <w:rsid w:val="00F84FD0"/>
    <w:rsid w:val="00F8592C"/>
    <w:rsid w:val="00F859A8"/>
    <w:rsid w:val="00F90F60"/>
    <w:rsid w:val="00F9108B"/>
    <w:rsid w:val="00F91349"/>
    <w:rsid w:val="00F93A8A"/>
    <w:rsid w:val="00F95248"/>
    <w:rsid w:val="00F956A9"/>
    <w:rsid w:val="00F963ED"/>
    <w:rsid w:val="00F966CF"/>
    <w:rsid w:val="00F96CAE"/>
    <w:rsid w:val="00F97C99"/>
    <w:rsid w:val="00FA36C0"/>
    <w:rsid w:val="00FA662D"/>
    <w:rsid w:val="00FA73B1"/>
    <w:rsid w:val="00FB0CB9"/>
    <w:rsid w:val="00FB45F1"/>
    <w:rsid w:val="00FB4A72"/>
    <w:rsid w:val="00FB54E8"/>
    <w:rsid w:val="00FB7054"/>
    <w:rsid w:val="00FC17B7"/>
    <w:rsid w:val="00FC2CB7"/>
    <w:rsid w:val="00FC3608"/>
    <w:rsid w:val="00FC4090"/>
    <w:rsid w:val="00FC55B4"/>
    <w:rsid w:val="00FC62F2"/>
    <w:rsid w:val="00FC6561"/>
    <w:rsid w:val="00FD00E6"/>
    <w:rsid w:val="00FD09A1"/>
    <w:rsid w:val="00FD2A7C"/>
    <w:rsid w:val="00FD4CC5"/>
    <w:rsid w:val="00FD59EB"/>
    <w:rsid w:val="00FD7299"/>
    <w:rsid w:val="00FD7E5A"/>
    <w:rsid w:val="00FE1FBE"/>
    <w:rsid w:val="00FE3901"/>
    <w:rsid w:val="00FE4BCE"/>
    <w:rsid w:val="00FE54AE"/>
    <w:rsid w:val="00FE576A"/>
    <w:rsid w:val="00FE7E79"/>
    <w:rsid w:val="00FF3E7D"/>
    <w:rsid w:val="00FF5B99"/>
    <w:rsid w:val="00FF730C"/>
    <w:rsid w:val="00FF73F4"/>
    <w:rsid w:val="00FF7CE4"/>
    <w:rsid w:val="00FF7E39"/>
    <w:rsid w:val="01C901A1"/>
    <w:rsid w:val="01D775B9"/>
    <w:rsid w:val="021138F7"/>
    <w:rsid w:val="02440E77"/>
    <w:rsid w:val="0264611C"/>
    <w:rsid w:val="027F7F68"/>
    <w:rsid w:val="029F3C06"/>
    <w:rsid w:val="02BE582C"/>
    <w:rsid w:val="02C46BBB"/>
    <w:rsid w:val="02D768EE"/>
    <w:rsid w:val="02DA3A5C"/>
    <w:rsid w:val="02F70D3E"/>
    <w:rsid w:val="03493153"/>
    <w:rsid w:val="039B3DC0"/>
    <w:rsid w:val="03E71197"/>
    <w:rsid w:val="04021749"/>
    <w:rsid w:val="04535B13"/>
    <w:rsid w:val="045A1585"/>
    <w:rsid w:val="04942839"/>
    <w:rsid w:val="04D8694E"/>
    <w:rsid w:val="04EA6DAD"/>
    <w:rsid w:val="053F12FD"/>
    <w:rsid w:val="056025E3"/>
    <w:rsid w:val="057B6CBB"/>
    <w:rsid w:val="05917228"/>
    <w:rsid w:val="05930833"/>
    <w:rsid w:val="05954245"/>
    <w:rsid w:val="05A50F26"/>
    <w:rsid w:val="05D76C05"/>
    <w:rsid w:val="05EB4AAB"/>
    <w:rsid w:val="05ED01D7"/>
    <w:rsid w:val="06040365"/>
    <w:rsid w:val="06C37BD3"/>
    <w:rsid w:val="06E01D69"/>
    <w:rsid w:val="07526921"/>
    <w:rsid w:val="07545D17"/>
    <w:rsid w:val="076369A2"/>
    <w:rsid w:val="07C1191B"/>
    <w:rsid w:val="07D6114F"/>
    <w:rsid w:val="07EA70C4"/>
    <w:rsid w:val="08230A4A"/>
    <w:rsid w:val="08283FA2"/>
    <w:rsid w:val="083672C0"/>
    <w:rsid w:val="08406CE4"/>
    <w:rsid w:val="08C571E9"/>
    <w:rsid w:val="09087BD9"/>
    <w:rsid w:val="09FB0512"/>
    <w:rsid w:val="0A0A57FB"/>
    <w:rsid w:val="0A3F0E9C"/>
    <w:rsid w:val="0A9F717D"/>
    <w:rsid w:val="0AAC0660"/>
    <w:rsid w:val="0AC901C8"/>
    <w:rsid w:val="0ACC0F62"/>
    <w:rsid w:val="0B5C3E34"/>
    <w:rsid w:val="0B6F1C37"/>
    <w:rsid w:val="0BCA2083"/>
    <w:rsid w:val="0C03143F"/>
    <w:rsid w:val="0C324B95"/>
    <w:rsid w:val="0CF370F1"/>
    <w:rsid w:val="0CF900A3"/>
    <w:rsid w:val="0D3D3EBA"/>
    <w:rsid w:val="0D9E6986"/>
    <w:rsid w:val="0DA3538A"/>
    <w:rsid w:val="0DBF7DA7"/>
    <w:rsid w:val="0DC80C78"/>
    <w:rsid w:val="0DD56120"/>
    <w:rsid w:val="0E252C04"/>
    <w:rsid w:val="0E7771D7"/>
    <w:rsid w:val="0E7F4D81"/>
    <w:rsid w:val="0EA965CA"/>
    <w:rsid w:val="0F135386"/>
    <w:rsid w:val="0F55715B"/>
    <w:rsid w:val="0F851480"/>
    <w:rsid w:val="0F9A4F2B"/>
    <w:rsid w:val="0F9B5F03"/>
    <w:rsid w:val="0FB5178E"/>
    <w:rsid w:val="1034712E"/>
    <w:rsid w:val="108300B5"/>
    <w:rsid w:val="10CF6E57"/>
    <w:rsid w:val="10ED6A57"/>
    <w:rsid w:val="110B7786"/>
    <w:rsid w:val="11210BF1"/>
    <w:rsid w:val="112C42A9"/>
    <w:rsid w:val="11677D5A"/>
    <w:rsid w:val="11845E93"/>
    <w:rsid w:val="119105B0"/>
    <w:rsid w:val="11B524F0"/>
    <w:rsid w:val="11C37A77"/>
    <w:rsid w:val="11F254F3"/>
    <w:rsid w:val="120E1C01"/>
    <w:rsid w:val="12372F05"/>
    <w:rsid w:val="12374CB3"/>
    <w:rsid w:val="123E24E6"/>
    <w:rsid w:val="12A14B9A"/>
    <w:rsid w:val="12B66520"/>
    <w:rsid w:val="12F9640D"/>
    <w:rsid w:val="131B2827"/>
    <w:rsid w:val="137B32C6"/>
    <w:rsid w:val="138F0B1F"/>
    <w:rsid w:val="13B4503C"/>
    <w:rsid w:val="14302302"/>
    <w:rsid w:val="14357918"/>
    <w:rsid w:val="152F3C74"/>
    <w:rsid w:val="15323E58"/>
    <w:rsid w:val="15437E13"/>
    <w:rsid w:val="156C55BC"/>
    <w:rsid w:val="15804BC3"/>
    <w:rsid w:val="158A63F2"/>
    <w:rsid w:val="15F1786F"/>
    <w:rsid w:val="162722CA"/>
    <w:rsid w:val="16563C07"/>
    <w:rsid w:val="16C805D0"/>
    <w:rsid w:val="16E91180"/>
    <w:rsid w:val="178F5592"/>
    <w:rsid w:val="179E4652"/>
    <w:rsid w:val="17D052A6"/>
    <w:rsid w:val="17FB49D5"/>
    <w:rsid w:val="187A7FF0"/>
    <w:rsid w:val="18B93F2F"/>
    <w:rsid w:val="19232435"/>
    <w:rsid w:val="194A37AC"/>
    <w:rsid w:val="199D3F96"/>
    <w:rsid w:val="19AD1261"/>
    <w:rsid w:val="19CF6119"/>
    <w:rsid w:val="1A9C7DD1"/>
    <w:rsid w:val="1AAB4490"/>
    <w:rsid w:val="1AB1581F"/>
    <w:rsid w:val="1B334486"/>
    <w:rsid w:val="1B46065D"/>
    <w:rsid w:val="1B46240B"/>
    <w:rsid w:val="1B83540D"/>
    <w:rsid w:val="1B8A679C"/>
    <w:rsid w:val="1B9B4505"/>
    <w:rsid w:val="1C5446B4"/>
    <w:rsid w:val="1C6C0864"/>
    <w:rsid w:val="1C896A53"/>
    <w:rsid w:val="1CA70C88"/>
    <w:rsid w:val="1CC373C8"/>
    <w:rsid w:val="1CCE30B7"/>
    <w:rsid w:val="1D156539"/>
    <w:rsid w:val="1D3A5FA0"/>
    <w:rsid w:val="1D660213"/>
    <w:rsid w:val="1D69418F"/>
    <w:rsid w:val="1D8B40B8"/>
    <w:rsid w:val="1D8B4ECA"/>
    <w:rsid w:val="1DA125D4"/>
    <w:rsid w:val="1DA8115B"/>
    <w:rsid w:val="1DAF4CFD"/>
    <w:rsid w:val="1DBC4B49"/>
    <w:rsid w:val="1DC615E1"/>
    <w:rsid w:val="1E01086B"/>
    <w:rsid w:val="1E1E141D"/>
    <w:rsid w:val="1E544E3F"/>
    <w:rsid w:val="1E8F5E77"/>
    <w:rsid w:val="1ED67C79"/>
    <w:rsid w:val="1F4E5D32"/>
    <w:rsid w:val="1F58191B"/>
    <w:rsid w:val="1FB060A5"/>
    <w:rsid w:val="1FCA53B9"/>
    <w:rsid w:val="201C373B"/>
    <w:rsid w:val="208C6B12"/>
    <w:rsid w:val="20C444FE"/>
    <w:rsid w:val="20CE712B"/>
    <w:rsid w:val="20E83DA2"/>
    <w:rsid w:val="2107263D"/>
    <w:rsid w:val="213276BA"/>
    <w:rsid w:val="21CB5418"/>
    <w:rsid w:val="21DE16E9"/>
    <w:rsid w:val="22203E91"/>
    <w:rsid w:val="2222301D"/>
    <w:rsid w:val="223C3D0F"/>
    <w:rsid w:val="225D528C"/>
    <w:rsid w:val="22CE326F"/>
    <w:rsid w:val="22D93B65"/>
    <w:rsid w:val="22DE117B"/>
    <w:rsid w:val="22E22A19"/>
    <w:rsid w:val="23104268"/>
    <w:rsid w:val="23B6792D"/>
    <w:rsid w:val="23BF4599"/>
    <w:rsid w:val="246E3050"/>
    <w:rsid w:val="249F564D"/>
    <w:rsid w:val="24C94B2F"/>
    <w:rsid w:val="24EF141E"/>
    <w:rsid w:val="24F15196"/>
    <w:rsid w:val="251B66B7"/>
    <w:rsid w:val="25AC5561"/>
    <w:rsid w:val="268D0EEE"/>
    <w:rsid w:val="269C55D5"/>
    <w:rsid w:val="27644345"/>
    <w:rsid w:val="27871DE1"/>
    <w:rsid w:val="27D8263D"/>
    <w:rsid w:val="27E45486"/>
    <w:rsid w:val="28096C9A"/>
    <w:rsid w:val="28130B29"/>
    <w:rsid w:val="281959B4"/>
    <w:rsid w:val="28520641"/>
    <w:rsid w:val="28583FB6"/>
    <w:rsid w:val="28CB3F50"/>
    <w:rsid w:val="28CF1C92"/>
    <w:rsid w:val="2917409F"/>
    <w:rsid w:val="294E27F7"/>
    <w:rsid w:val="29534671"/>
    <w:rsid w:val="299037B0"/>
    <w:rsid w:val="29CB65D2"/>
    <w:rsid w:val="29EA6657"/>
    <w:rsid w:val="2AD76BDC"/>
    <w:rsid w:val="2AFE685E"/>
    <w:rsid w:val="2B013C59"/>
    <w:rsid w:val="2B097498"/>
    <w:rsid w:val="2B1621A4"/>
    <w:rsid w:val="2B501978"/>
    <w:rsid w:val="2B512E08"/>
    <w:rsid w:val="2B517A51"/>
    <w:rsid w:val="2B545A20"/>
    <w:rsid w:val="2BB62C95"/>
    <w:rsid w:val="2C027C88"/>
    <w:rsid w:val="2C550700"/>
    <w:rsid w:val="2CBC7C58"/>
    <w:rsid w:val="2CBF201D"/>
    <w:rsid w:val="2CD07D87"/>
    <w:rsid w:val="2CE90A48"/>
    <w:rsid w:val="2CEF21C5"/>
    <w:rsid w:val="2D1D63A5"/>
    <w:rsid w:val="2DA40EBE"/>
    <w:rsid w:val="2DC21DC5"/>
    <w:rsid w:val="2E262063"/>
    <w:rsid w:val="2EC92CDF"/>
    <w:rsid w:val="2F1228D8"/>
    <w:rsid w:val="2F233B9F"/>
    <w:rsid w:val="2F5E78CC"/>
    <w:rsid w:val="2FA4537B"/>
    <w:rsid w:val="2FFB2622"/>
    <w:rsid w:val="2FFC64B9"/>
    <w:rsid w:val="30BD6874"/>
    <w:rsid w:val="30DC319E"/>
    <w:rsid w:val="311F752F"/>
    <w:rsid w:val="31510CCD"/>
    <w:rsid w:val="31723B02"/>
    <w:rsid w:val="319D3DA5"/>
    <w:rsid w:val="31D64091"/>
    <w:rsid w:val="322261F2"/>
    <w:rsid w:val="32BC15F9"/>
    <w:rsid w:val="3303452C"/>
    <w:rsid w:val="330C5891"/>
    <w:rsid w:val="33856B23"/>
    <w:rsid w:val="33D04B10"/>
    <w:rsid w:val="34052A0C"/>
    <w:rsid w:val="342D5ABF"/>
    <w:rsid w:val="34346E4D"/>
    <w:rsid w:val="345614B9"/>
    <w:rsid w:val="346D332A"/>
    <w:rsid w:val="34DD74E5"/>
    <w:rsid w:val="34FA3F3B"/>
    <w:rsid w:val="35645510"/>
    <w:rsid w:val="3592207D"/>
    <w:rsid w:val="35A61FCC"/>
    <w:rsid w:val="35C10BB4"/>
    <w:rsid w:val="3637104B"/>
    <w:rsid w:val="380A6862"/>
    <w:rsid w:val="383C09C6"/>
    <w:rsid w:val="386B50D1"/>
    <w:rsid w:val="38F35529"/>
    <w:rsid w:val="39100E97"/>
    <w:rsid w:val="39303A7B"/>
    <w:rsid w:val="39A66F77"/>
    <w:rsid w:val="39B306F4"/>
    <w:rsid w:val="39C42A21"/>
    <w:rsid w:val="39F94DC1"/>
    <w:rsid w:val="3A10210A"/>
    <w:rsid w:val="3A7206CF"/>
    <w:rsid w:val="3AAB598F"/>
    <w:rsid w:val="3BA56A59"/>
    <w:rsid w:val="3BBA40DC"/>
    <w:rsid w:val="3BFB6AAC"/>
    <w:rsid w:val="3C09606D"/>
    <w:rsid w:val="3C1E399C"/>
    <w:rsid w:val="3C29262C"/>
    <w:rsid w:val="3C485B8B"/>
    <w:rsid w:val="3D1B1823"/>
    <w:rsid w:val="3D3B749E"/>
    <w:rsid w:val="3D3F6549"/>
    <w:rsid w:val="3D460D94"/>
    <w:rsid w:val="3D65451B"/>
    <w:rsid w:val="3D733D8F"/>
    <w:rsid w:val="3D766AC5"/>
    <w:rsid w:val="3D844423"/>
    <w:rsid w:val="3E0E070F"/>
    <w:rsid w:val="3E742C68"/>
    <w:rsid w:val="3E920C17"/>
    <w:rsid w:val="3EC47C62"/>
    <w:rsid w:val="3F125FDD"/>
    <w:rsid w:val="3F1F5B39"/>
    <w:rsid w:val="3F2F7F48"/>
    <w:rsid w:val="3F9F1F66"/>
    <w:rsid w:val="40783D15"/>
    <w:rsid w:val="41783C92"/>
    <w:rsid w:val="41D63C39"/>
    <w:rsid w:val="42026DE4"/>
    <w:rsid w:val="420D5BE4"/>
    <w:rsid w:val="424B3CDF"/>
    <w:rsid w:val="425F3C2F"/>
    <w:rsid w:val="42D94135"/>
    <w:rsid w:val="42E859D2"/>
    <w:rsid w:val="43383E1A"/>
    <w:rsid w:val="43575D96"/>
    <w:rsid w:val="436D237B"/>
    <w:rsid w:val="43EC14F2"/>
    <w:rsid w:val="4465491D"/>
    <w:rsid w:val="447E29AC"/>
    <w:rsid w:val="44A060B9"/>
    <w:rsid w:val="44C16BA3"/>
    <w:rsid w:val="44CC6C2E"/>
    <w:rsid w:val="44D570FB"/>
    <w:rsid w:val="45094353"/>
    <w:rsid w:val="451A7543"/>
    <w:rsid w:val="45701CAF"/>
    <w:rsid w:val="460129F1"/>
    <w:rsid w:val="46455DBC"/>
    <w:rsid w:val="4658658D"/>
    <w:rsid w:val="46696E2A"/>
    <w:rsid w:val="46957C1F"/>
    <w:rsid w:val="47C167F2"/>
    <w:rsid w:val="47FE1C87"/>
    <w:rsid w:val="484216E1"/>
    <w:rsid w:val="48496F13"/>
    <w:rsid w:val="48E40723"/>
    <w:rsid w:val="49366D6C"/>
    <w:rsid w:val="494871CB"/>
    <w:rsid w:val="4A527BD5"/>
    <w:rsid w:val="4A6C0C97"/>
    <w:rsid w:val="4A722025"/>
    <w:rsid w:val="4AB50890"/>
    <w:rsid w:val="4B1F4AEB"/>
    <w:rsid w:val="4BA13CA3"/>
    <w:rsid w:val="4C5E36F0"/>
    <w:rsid w:val="4CC90623"/>
    <w:rsid w:val="4D3F08E5"/>
    <w:rsid w:val="4DB45C1F"/>
    <w:rsid w:val="4DC82688"/>
    <w:rsid w:val="4DD9434D"/>
    <w:rsid w:val="4EEF79A0"/>
    <w:rsid w:val="4FA9473B"/>
    <w:rsid w:val="4FAF0B25"/>
    <w:rsid w:val="4FEE65F2"/>
    <w:rsid w:val="505A4C98"/>
    <w:rsid w:val="508A00C9"/>
    <w:rsid w:val="50E54954"/>
    <w:rsid w:val="51275918"/>
    <w:rsid w:val="51312C3A"/>
    <w:rsid w:val="5160707C"/>
    <w:rsid w:val="51890380"/>
    <w:rsid w:val="51DF61F2"/>
    <w:rsid w:val="520619D1"/>
    <w:rsid w:val="52181704"/>
    <w:rsid w:val="52601421"/>
    <w:rsid w:val="52727F85"/>
    <w:rsid w:val="52D10916"/>
    <w:rsid w:val="52E12D53"/>
    <w:rsid w:val="52F91536"/>
    <w:rsid w:val="53101A1D"/>
    <w:rsid w:val="531225F7"/>
    <w:rsid w:val="53204D14"/>
    <w:rsid w:val="536B633F"/>
    <w:rsid w:val="53AA7D19"/>
    <w:rsid w:val="53CA50ED"/>
    <w:rsid w:val="53DF697E"/>
    <w:rsid w:val="5435659E"/>
    <w:rsid w:val="547B5C4A"/>
    <w:rsid w:val="54BA6AA3"/>
    <w:rsid w:val="54D478A2"/>
    <w:rsid w:val="55144405"/>
    <w:rsid w:val="555C31D4"/>
    <w:rsid w:val="55B33C1E"/>
    <w:rsid w:val="55E95892"/>
    <w:rsid w:val="55EF562C"/>
    <w:rsid w:val="55F85AD5"/>
    <w:rsid w:val="56261D2F"/>
    <w:rsid w:val="56275960"/>
    <w:rsid w:val="566E3D61"/>
    <w:rsid w:val="56707D61"/>
    <w:rsid w:val="56FB1BA6"/>
    <w:rsid w:val="57963D1F"/>
    <w:rsid w:val="57A2007B"/>
    <w:rsid w:val="58450D79"/>
    <w:rsid w:val="585C1FC3"/>
    <w:rsid w:val="58E16CF4"/>
    <w:rsid w:val="595B6AA6"/>
    <w:rsid w:val="59967ADE"/>
    <w:rsid w:val="59A26483"/>
    <w:rsid w:val="5A100D6E"/>
    <w:rsid w:val="5A4C4641"/>
    <w:rsid w:val="5A4F7C8D"/>
    <w:rsid w:val="5AF92507"/>
    <w:rsid w:val="5C205D85"/>
    <w:rsid w:val="5D0336DD"/>
    <w:rsid w:val="5D235B2D"/>
    <w:rsid w:val="5D3F223B"/>
    <w:rsid w:val="5D6677C8"/>
    <w:rsid w:val="5D963448"/>
    <w:rsid w:val="5DAD36A2"/>
    <w:rsid w:val="5DBE18F4"/>
    <w:rsid w:val="5E0771FD"/>
    <w:rsid w:val="5E0F60B1"/>
    <w:rsid w:val="5E2733FB"/>
    <w:rsid w:val="5E820631"/>
    <w:rsid w:val="5EF17565"/>
    <w:rsid w:val="5EF21B83"/>
    <w:rsid w:val="5F074FDA"/>
    <w:rsid w:val="5F217E4A"/>
    <w:rsid w:val="5F6A018D"/>
    <w:rsid w:val="5F7E529D"/>
    <w:rsid w:val="5FFB57EC"/>
    <w:rsid w:val="600B50C4"/>
    <w:rsid w:val="604F09E7"/>
    <w:rsid w:val="60CD39DE"/>
    <w:rsid w:val="60E37357"/>
    <w:rsid w:val="61646714"/>
    <w:rsid w:val="61A94127"/>
    <w:rsid w:val="61FB7A48"/>
    <w:rsid w:val="62175534"/>
    <w:rsid w:val="62EE098B"/>
    <w:rsid w:val="632B74E9"/>
    <w:rsid w:val="633E3777"/>
    <w:rsid w:val="637D586B"/>
    <w:rsid w:val="6381465C"/>
    <w:rsid w:val="63860BC4"/>
    <w:rsid w:val="63880E75"/>
    <w:rsid w:val="63B91AA2"/>
    <w:rsid w:val="643E149E"/>
    <w:rsid w:val="644B5969"/>
    <w:rsid w:val="645C1924"/>
    <w:rsid w:val="64F73A3B"/>
    <w:rsid w:val="652756A4"/>
    <w:rsid w:val="6585071B"/>
    <w:rsid w:val="65BA2DA7"/>
    <w:rsid w:val="65E03800"/>
    <w:rsid w:val="66144AC0"/>
    <w:rsid w:val="66A870A3"/>
    <w:rsid w:val="66AB0941"/>
    <w:rsid w:val="66EF4525"/>
    <w:rsid w:val="6727446C"/>
    <w:rsid w:val="672A7B23"/>
    <w:rsid w:val="67445238"/>
    <w:rsid w:val="67953E4F"/>
    <w:rsid w:val="67A94B21"/>
    <w:rsid w:val="67B97DDD"/>
    <w:rsid w:val="67D77C40"/>
    <w:rsid w:val="685C0145"/>
    <w:rsid w:val="686D2352"/>
    <w:rsid w:val="687A05CB"/>
    <w:rsid w:val="688B27D8"/>
    <w:rsid w:val="68A05376"/>
    <w:rsid w:val="68A13DAA"/>
    <w:rsid w:val="68D128E1"/>
    <w:rsid w:val="68FE2FAA"/>
    <w:rsid w:val="69140A20"/>
    <w:rsid w:val="691F1C81"/>
    <w:rsid w:val="69685105"/>
    <w:rsid w:val="697414BE"/>
    <w:rsid w:val="698E432E"/>
    <w:rsid w:val="6A257158"/>
    <w:rsid w:val="6A474B88"/>
    <w:rsid w:val="6A4A02CC"/>
    <w:rsid w:val="6AFC176B"/>
    <w:rsid w:val="6B07083C"/>
    <w:rsid w:val="6B2F38EF"/>
    <w:rsid w:val="6B43383E"/>
    <w:rsid w:val="6B4C26F3"/>
    <w:rsid w:val="6B80414A"/>
    <w:rsid w:val="6BC229B5"/>
    <w:rsid w:val="6BC404DB"/>
    <w:rsid w:val="6BE75F78"/>
    <w:rsid w:val="6BFB5EC7"/>
    <w:rsid w:val="6C5E4860"/>
    <w:rsid w:val="6C865790"/>
    <w:rsid w:val="6CDA788A"/>
    <w:rsid w:val="6CE64481"/>
    <w:rsid w:val="6D010D2D"/>
    <w:rsid w:val="6D5B09CB"/>
    <w:rsid w:val="6DC704D0"/>
    <w:rsid w:val="6E0E3C8F"/>
    <w:rsid w:val="6E331948"/>
    <w:rsid w:val="6E472A13"/>
    <w:rsid w:val="6E62222D"/>
    <w:rsid w:val="6E7B0DE6"/>
    <w:rsid w:val="6E9D5412"/>
    <w:rsid w:val="6EB42D97"/>
    <w:rsid w:val="6EFC1443"/>
    <w:rsid w:val="6F0B4673"/>
    <w:rsid w:val="6F147CF5"/>
    <w:rsid w:val="6F343BCA"/>
    <w:rsid w:val="6F59718C"/>
    <w:rsid w:val="6F885CC3"/>
    <w:rsid w:val="6FB865A9"/>
    <w:rsid w:val="6FD43436"/>
    <w:rsid w:val="701849FA"/>
    <w:rsid w:val="70441BEA"/>
    <w:rsid w:val="708C17E3"/>
    <w:rsid w:val="708E10B8"/>
    <w:rsid w:val="70967F6C"/>
    <w:rsid w:val="71126351"/>
    <w:rsid w:val="71444FD4"/>
    <w:rsid w:val="71445C1A"/>
    <w:rsid w:val="714F4CEB"/>
    <w:rsid w:val="71956476"/>
    <w:rsid w:val="71D46F9E"/>
    <w:rsid w:val="71F2319F"/>
    <w:rsid w:val="722D66AE"/>
    <w:rsid w:val="72371C34"/>
    <w:rsid w:val="729A3D44"/>
    <w:rsid w:val="72FA2A34"/>
    <w:rsid w:val="734B05E5"/>
    <w:rsid w:val="73603429"/>
    <w:rsid w:val="73CD1EF7"/>
    <w:rsid w:val="73FE2921"/>
    <w:rsid w:val="740F250F"/>
    <w:rsid w:val="74806F69"/>
    <w:rsid w:val="74C611C5"/>
    <w:rsid w:val="74CE2630"/>
    <w:rsid w:val="753976B2"/>
    <w:rsid w:val="75792BA3"/>
    <w:rsid w:val="75A924F0"/>
    <w:rsid w:val="75E8126A"/>
    <w:rsid w:val="767A3EE7"/>
    <w:rsid w:val="76AA4771"/>
    <w:rsid w:val="76AF1D88"/>
    <w:rsid w:val="77A05E86"/>
    <w:rsid w:val="77DD7EE5"/>
    <w:rsid w:val="77F008AA"/>
    <w:rsid w:val="78370287"/>
    <w:rsid w:val="787D699C"/>
    <w:rsid w:val="7884654B"/>
    <w:rsid w:val="78AA6CAB"/>
    <w:rsid w:val="78FA3446"/>
    <w:rsid w:val="791B7B90"/>
    <w:rsid w:val="79257D62"/>
    <w:rsid w:val="795231B2"/>
    <w:rsid w:val="79D12015"/>
    <w:rsid w:val="7A122D59"/>
    <w:rsid w:val="7A4153ED"/>
    <w:rsid w:val="7A992B33"/>
    <w:rsid w:val="7A9F42A7"/>
    <w:rsid w:val="7B0A57DF"/>
    <w:rsid w:val="7B105150"/>
    <w:rsid w:val="7C26489A"/>
    <w:rsid w:val="7C464F3C"/>
    <w:rsid w:val="7CFE41E3"/>
    <w:rsid w:val="7D324B47"/>
    <w:rsid w:val="7D9046C1"/>
    <w:rsid w:val="7DC00996"/>
    <w:rsid w:val="7DDA3B8E"/>
    <w:rsid w:val="7E156974"/>
    <w:rsid w:val="7E1F2110"/>
    <w:rsid w:val="7E3D40AD"/>
    <w:rsid w:val="7E490D14"/>
    <w:rsid w:val="7E7062A0"/>
    <w:rsid w:val="7E88183C"/>
    <w:rsid w:val="7EC02D84"/>
    <w:rsid w:val="7ED12D02"/>
    <w:rsid w:val="7EEA7E01"/>
    <w:rsid w:val="7EF15125"/>
    <w:rsid w:val="7F9A3FB4"/>
    <w:rsid w:val="7FBD5515"/>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toa heading"/>
    <w:basedOn w:val="1"/>
    <w:next w:val="1"/>
    <w:semiHidden/>
    <w:unhideWhenUsed/>
    <w:qFormat/>
    <w:uiPriority w:val="99"/>
    <w:pPr>
      <w:adjustRightInd/>
      <w:spacing w:line="360" w:lineRule="auto"/>
    </w:pPr>
    <w:rPr>
      <w:rFonts w:ascii="Arial" w:hAnsi="Arial" w:eastAsia="Times New Roman"/>
      <w:color w:val="000000"/>
      <w:kern w:val="0"/>
      <w:szCs w:val="20"/>
      <w:lang w:eastAsia="en-US" w:bidi="en-US"/>
    </w:rPr>
  </w:style>
  <w:style w:type="paragraph" w:styleId="14">
    <w:name w:val="annotation text"/>
    <w:basedOn w:val="1"/>
    <w:link w:val="233"/>
    <w:semiHidden/>
    <w:unhideWhenUsed/>
    <w:qFormat/>
    <w:uiPriority w:val="99"/>
    <w:pPr>
      <w:jc w:val="left"/>
    </w:pPr>
  </w:style>
  <w:style w:type="paragraph" w:styleId="15">
    <w:name w:val="Body Text"/>
    <w:basedOn w:val="1"/>
    <w:link w:val="90"/>
    <w:qFormat/>
    <w:uiPriority w:val="0"/>
    <w:pPr>
      <w:spacing w:after="12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Balloon Text"/>
    <w:basedOn w:val="1"/>
    <w:link w:val="49"/>
    <w:semiHidden/>
    <w:unhideWhenUsed/>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4"/>
    <w:next w:val="14"/>
    <w:link w:val="234"/>
    <w:semiHidden/>
    <w:unhideWhenUsed/>
    <w:qFormat/>
    <w:uiPriority w:val="99"/>
    <w:rPr>
      <w:b/>
      <w:bCs/>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rFonts w:ascii="Times New Roman" w:hAnsi="Times New Roman" w:eastAsia="宋体" w:cs="Times New Roman"/>
      <w:b/>
      <w:bCs/>
      <w:kern w:val="44"/>
      <w:sz w:val="44"/>
      <w:szCs w:val="44"/>
    </w:rPr>
  </w:style>
  <w:style w:type="character" w:customStyle="1" w:styleId="39">
    <w:name w:val="标题 2 字符"/>
    <w:link w:val="3"/>
    <w:qFormat/>
    <w:uiPriority w:val="0"/>
    <w:rPr>
      <w:rFonts w:ascii="Arial" w:hAnsi="Arial" w:eastAsia="黑体" w:cs="Times New Roman"/>
      <w:b/>
      <w:bCs/>
      <w:sz w:val="32"/>
      <w:szCs w:val="32"/>
    </w:rPr>
  </w:style>
  <w:style w:type="character" w:customStyle="1" w:styleId="40">
    <w:name w:val="标题 3 字符"/>
    <w:link w:val="4"/>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qFormat/>
    <w:uiPriority w:val="0"/>
    <w:rPr>
      <w:rFonts w:ascii="Times New Roman" w:hAnsi="Times New Roman" w:eastAsia="宋体" w:cs="Times New Roman"/>
      <w:b/>
      <w:bCs/>
      <w:sz w:val="28"/>
      <w:szCs w:val="28"/>
    </w:rPr>
  </w:style>
  <w:style w:type="character" w:customStyle="1" w:styleId="43">
    <w:name w:val="标题 6 字符"/>
    <w:link w:val="7"/>
    <w:qFormat/>
    <w:uiPriority w:val="0"/>
    <w:rPr>
      <w:rFonts w:ascii="Arial" w:hAnsi="Arial" w:eastAsia="黑体" w:cs="Times New Roman"/>
      <w:b/>
      <w:bCs/>
      <w:sz w:val="24"/>
      <w:szCs w:val="24"/>
    </w:rPr>
  </w:style>
  <w:style w:type="character" w:customStyle="1" w:styleId="44">
    <w:name w:val="标题 7 字符"/>
    <w:link w:val="8"/>
    <w:qFormat/>
    <w:uiPriority w:val="0"/>
    <w:rPr>
      <w:rFonts w:ascii="Times New Roman" w:hAnsi="Times New Roman" w:eastAsia="宋体" w:cs="Times New Roman"/>
      <w:b/>
      <w:bCs/>
      <w:sz w:val="24"/>
      <w:szCs w:val="24"/>
    </w:rPr>
  </w:style>
  <w:style w:type="character" w:customStyle="1" w:styleId="45">
    <w:name w:val="标题 8 字符"/>
    <w:link w:val="9"/>
    <w:qFormat/>
    <w:uiPriority w:val="0"/>
    <w:rPr>
      <w:rFonts w:ascii="Arial" w:hAnsi="Arial" w:eastAsia="黑体" w:cs="Times New Roman"/>
      <w:sz w:val="24"/>
      <w:szCs w:val="24"/>
    </w:rPr>
  </w:style>
  <w:style w:type="character" w:customStyle="1" w:styleId="46">
    <w:name w:val="标题 9 字符"/>
    <w:link w:val="10"/>
    <w:qFormat/>
    <w:uiPriority w:val="0"/>
    <w:rPr>
      <w:rFonts w:ascii="Arial" w:hAnsi="Arial" w:eastAsia="黑体" w:cs="Times New Roman"/>
      <w:szCs w:val="21"/>
    </w:rPr>
  </w:style>
  <w:style w:type="character" w:customStyle="1" w:styleId="47">
    <w:name w:val="页眉 字符"/>
    <w:link w:val="20"/>
    <w:qFormat/>
    <w:uiPriority w:val="99"/>
    <w:rPr>
      <w:rFonts w:ascii="Times New Roman" w:hAnsi="Times New Roman" w:eastAsia="宋体" w:cs="Times New Roman"/>
      <w:sz w:val="18"/>
      <w:szCs w:val="18"/>
    </w:rPr>
  </w:style>
  <w:style w:type="character" w:customStyle="1" w:styleId="48">
    <w:name w:val="页脚 字符"/>
    <w:link w:val="19"/>
    <w:qFormat/>
    <w:uiPriority w:val="99"/>
    <w:rPr>
      <w:rFonts w:ascii="宋体" w:hAnsi="Times New Roman" w:eastAsia="宋体" w:cs="Times New Roman"/>
      <w:sz w:val="18"/>
      <w:szCs w:val="18"/>
    </w:rPr>
  </w:style>
  <w:style w:type="character" w:customStyle="1" w:styleId="49">
    <w:name w:val="批注框文本 字符"/>
    <w:link w:val="18"/>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5"/>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hAnsi="Times New Roman" w:eastAsia="宋体" w:cs="Times New Roman"/>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批注文字 字符"/>
    <w:basedOn w:val="31"/>
    <w:link w:val="14"/>
    <w:semiHidden/>
    <w:qFormat/>
    <w:uiPriority w:val="99"/>
    <w:rPr>
      <w:kern w:val="2"/>
      <w:sz w:val="21"/>
      <w:szCs w:val="21"/>
    </w:rPr>
  </w:style>
  <w:style w:type="character" w:customStyle="1" w:styleId="234">
    <w:name w:val="批注主题 字符"/>
    <w:basedOn w:val="233"/>
    <w:link w:val="28"/>
    <w:semiHidden/>
    <w:qFormat/>
    <w:uiPriority w:val="99"/>
    <w:rPr>
      <w:b/>
      <w:bCs/>
      <w:kern w:val="2"/>
      <w:sz w:val="21"/>
      <w:szCs w:val="21"/>
    </w:rPr>
  </w:style>
  <w:style w:type="paragraph" w:customStyle="1" w:styleId="235">
    <w:name w:val="段"/>
    <w:link w:val="23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6">
    <w:name w:val="段 Char"/>
    <w:link w:val="235"/>
    <w:qFormat/>
    <w:uiPriority w:val="0"/>
    <w:rPr>
      <w:rFonts w:ascii="宋体" w:hAnsi="Times New Roman"/>
      <w:sz w:val="21"/>
    </w:rPr>
  </w:style>
  <w:style w:type="paragraph" w:customStyle="1" w:styleId="237">
    <w:name w:val="一级条标题"/>
    <w:next w:val="235"/>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8">
    <w:name w:val="章标题"/>
    <w:next w:val="235"/>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9">
    <w:name w:val="二级条标题"/>
    <w:basedOn w:val="237"/>
    <w:next w:val="235"/>
    <w:qFormat/>
    <w:uiPriority w:val="0"/>
    <w:pPr>
      <w:numPr>
        <w:ilvl w:val="2"/>
      </w:numPr>
      <w:spacing w:before="50" w:after="50"/>
      <w:outlineLvl w:val="3"/>
    </w:pPr>
  </w:style>
  <w:style w:type="paragraph" w:customStyle="1" w:styleId="240">
    <w:name w:val="三级条标题"/>
    <w:basedOn w:val="239"/>
    <w:next w:val="235"/>
    <w:qFormat/>
    <w:uiPriority w:val="0"/>
    <w:pPr>
      <w:numPr>
        <w:ilvl w:val="3"/>
      </w:numPr>
      <w:outlineLvl w:val="4"/>
    </w:pPr>
  </w:style>
  <w:style w:type="paragraph" w:customStyle="1" w:styleId="241">
    <w:name w:val="四级条标题"/>
    <w:basedOn w:val="240"/>
    <w:next w:val="235"/>
    <w:qFormat/>
    <w:uiPriority w:val="0"/>
    <w:pPr>
      <w:numPr>
        <w:ilvl w:val="4"/>
      </w:numPr>
      <w:outlineLvl w:val="5"/>
    </w:pPr>
  </w:style>
  <w:style w:type="paragraph" w:customStyle="1" w:styleId="242">
    <w:name w:val="五级条标题"/>
    <w:basedOn w:val="241"/>
    <w:next w:val="235"/>
    <w:qFormat/>
    <w:uiPriority w:val="0"/>
    <w:pPr>
      <w:numPr>
        <w:ilvl w:val="5"/>
      </w:numPr>
      <w:outlineLvl w:val="6"/>
    </w:pPr>
  </w:style>
  <w:style w:type="paragraph" w:customStyle="1" w:styleId="243">
    <w:name w:val="注："/>
    <w:next w:val="235"/>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244">
    <w:name w:val="注：（正文）"/>
    <w:basedOn w:val="243"/>
    <w:next w:val="235"/>
    <w:qFormat/>
    <w:uiPriority w:val="0"/>
  </w:style>
  <w:style w:type="paragraph" w:customStyle="1" w:styleId="245">
    <w:name w:val="正文表标题"/>
    <w:next w:val="235"/>
    <w:qFormat/>
    <w:uiPriority w:val="0"/>
    <w:pPr>
      <w:spacing w:before="156" w:beforeLines="50" w:after="156" w:afterLines="50"/>
      <w:ind w:left="3828"/>
      <w:jc w:val="center"/>
    </w:pPr>
    <w:rPr>
      <w:rFonts w:ascii="黑体" w:hAnsi="Times New Roman" w:eastAsia="黑体" w:cs="Times New Roman"/>
      <w:sz w:val="21"/>
      <w:lang w:val="en-US" w:eastAsia="zh-CN" w:bidi="ar-SA"/>
    </w:rPr>
  </w:style>
  <w:style w:type="paragraph" w:customStyle="1" w:styleId="246">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247">
    <w:name w:val="修订1"/>
    <w:hidden/>
    <w:unhideWhenUsed/>
    <w:qFormat/>
    <w:uiPriority w:val="99"/>
    <w:rPr>
      <w:rFonts w:ascii="Calibri" w:hAnsi="Calibri" w:eastAsia="宋体" w:cs="Times New Roman"/>
      <w:kern w:val="2"/>
      <w:sz w:val="21"/>
      <w:szCs w:val="21"/>
      <w:lang w:val="en-US" w:eastAsia="zh-CN" w:bidi="ar-SA"/>
    </w:rPr>
  </w:style>
  <w:style w:type="paragraph" w:customStyle="1" w:styleId="248">
    <w:name w:val="修订2"/>
    <w:hidden/>
    <w:unhideWhenUsed/>
    <w:qFormat/>
    <w:uiPriority w:val="99"/>
    <w:rPr>
      <w:rFonts w:ascii="Calibri" w:hAnsi="Calibri" w:eastAsia="宋体" w:cs="Times New Roman"/>
      <w:kern w:val="2"/>
      <w:sz w:val="21"/>
      <w:szCs w:val="21"/>
      <w:lang w:val="en-US" w:eastAsia="zh-CN" w:bidi="ar-SA"/>
    </w:rPr>
  </w:style>
  <w:style w:type="paragraph" w:customStyle="1" w:styleId="249">
    <w:name w:val="附录标识"/>
    <w:basedOn w:val="1"/>
    <w:next w:val="235"/>
    <w:qFormat/>
    <w:uiPriority w:val="0"/>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50">
    <w:name w:val="附录二级条标题"/>
    <w:basedOn w:val="1"/>
    <w:next w:val="235"/>
    <w:qFormat/>
    <w:uiPriority w:val="0"/>
    <w:pPr>
      <w:widowControl/>
      <w:tabs>
        <w:tab w:val="left" w:pos="360"/>
      </w:tabs>
      <w:wordWrap w:val="0"/>
      <w:overflowPunct w:val="0"/>
      <w:autoSpaceDE w:val="0"/>
      <w:autoSpaceDN w:val="0"/>
      <w:adjustRightInd/>
      <w:spacing w:beforeLines="50" w:afterLines="50" w:line="240" w:lineRule="auto"/>
      <w:textAlignment w:val="baseline"/>
      <w:outlineLvl w:val="3"/>
    </w:pPr>
    <w:rPr>
      <w:rFonts w:ascii="黑体" w:hAnsi="Times New Roman" w:eastAsia="黑体"/>
      <w:kern w:val="21"/>
      <w:szCs w:val="20"/>
    </w:rPr>
  </w:style>
  <w:style w:type="paragraph" w:customStyle="1" w:styleId="251">
    <w:name w:val="附录三级条标题"/>
    <w:basedOn w:val="250"/>
    <w:next w:val="235"/>
    <w:qFormat/>
    <w:uiPriority w:val="0"/>
    <w:pPr>
      <w:outlineLvl w:val="4"/>
    </w:pPr>
  </w:style>
  <w:style w:type="paragraph" w:customStyle="1" w:styleId="252">
    <w:name w:val="附录四级条标题"/>
    <w:basedOn w:val="251"/>
    <w:next w:val="235"/>
    <w:qFormat/>
    <w:uiPriority w:val="0"/>
    <w:pPr>
      <w:outlineLvl w:val="5"/>
    </w:pPr>
  </w:style>
  <w:style w:type="paragraph" w:customStyle="1" w:styleId="253">
    <w:name w:val="附录五级条标题"/>
    <w:basedOn w:val="252"/>
    <w:next w:val="235"/>
    <w:qFormat/>
    <w:uiPriority w:val="0"/>
    <w:pPr>
      <w:outlineLvl w:val="6"/>
    </w:pPr>
  </w:style>
  <w:style w:type="paragraph" w:customStyle="1" w:styleId="254">
    <w:name w:val="附录章标题"/>
    <w:next w:val="235"/>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55">
    <w:name w:val="附录一级条标题"/>
    <w:basedOn w:val="254"/>
    <w:next w:val="235"/>
    <w:qFormat/>
    <w:uiPriority w:val="0"/>
    <w:pPr>
      <w:autoSpaceDN w:val="0"/>
      <w:spacing w:beforeLines="50" w:afterLines="50"/>
      <w:outlineLvl w:val="2"/>
    </w:pPr>
  </w:style>
  <w:style w:type="paragraph" w:customStyle="1" w:styleId="256">
    <w:name w:val="修订3"/>
    <w:hidden/>
    <w:unhideWhenUsed/>
    <w:qFormat/>
    <w:uiPriority w:val="99"/>
    <w:rPr>
      <w:rFonts w:ascii="Calibri" w:hAnsi="Calibri" w:eastAsia="宋体" w:cs="Times New Roman"/>
      <w:kern w:val="2"/>
      <w:sz w:val="21"/>
      <w:szCs w:val="21"/>
      <w:lang w:val="en-US" w:eastAsia="zh-CN" w:bidi="ar-SA"/>
    </w:rPr>
  </w:style>
  <w:style w:type="paragraph" w:customStyle="1" w:styleId="257">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glossaryDocument" Target="glossary/document.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7.png"/><Relationship Id="rId43" Type="http://schemas.openxmlformats.org/officeDocument/2006/relationships/image" Target="media/image6.png"/><Relationship Id="rId42" Type="http://schemas.openxmlformats.org/officeDocument/2006/relationships/image" Target="media/image5.png"/><Relationship Id="rId41" Type="http://schemas.openxmlformats.org/officeDocument/2006/relationships/image" Target="media/image4.png"/><Relationship Id="rId40" Type="http://schemas.openxmlformats.org/officeDocument/2006/relationships/image" Target="media/image3.jpeg"/><Relationship Id="rId4" Type="http://schemas.openxmlformats.org/officeDocument/2006/relationships/endnotes" Target="endnotes.xml"/><Relationship Id="rId39" Type="http://schemas.openxmlformats.org/officeDocument/2006/relationships/image" Target="media/image2.tiff"/><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6.xml"/><Relationship Id="rId35" Type="http://schemas.openxmlformats.org/officeDocument/2006/relationships/footer" Target="footer15.xml"/><Relationship Id="rId34" Type="http://schemas.openxmlformats.org/officeDocument/2006/relationships/header" Target="header16.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footer" Target="footer13.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98EBC31BD92478B9ED0B49AF9BB4445"/>
        <w:style w:val=""/>
        <w:category>
          <w:name w:val="常规"/>
          <w:gallery w:val="placeholder"/>
        </w:category>
        <w:types>
          <w:type w:val="bbPlcHdr"/>
        </w:types>
        <w:behaviors>
          <w:behavior w:val="content"/>
        </w:behaviors>
        <w:description w:val=""/>
        <w:guid w:val="{39269EB6-9B4A-4642-BF33-22E8613ACD93}"/>
      </w:docPartPr>
      <w:docPartBody>
        <w:p w14:paraId="49F6027F">
          <w:pPr>
            <w:pStyle w:val="5"/>
            <w:rPr>
              <w:rFonts w:hint="eastAsia"/>
            </w:rPr>
          </w:pPr>
          <w:r>
            <w:rPr>
              <w:rStyle w:val="4"/>
              <w:rFonts w:hint="eastAsia"/>
            </w:rPr>
            <w:t>单击或点击此处输入文字。</w:t>
          </w:r>
        </w:p>
      </w:docPartBody>
    </w:docPart>
    <w:docPart>
      <w:docPartPr>
        <w:name w:val="0B0114E111AC4E3DB08F660BB720ECAD"/>
        <w:style w:val=""/>
        <w:category>
          <w:name w:val="常规"/>
          <w:gallery w:val="placeholder"/>
        </w:category>
        <w:types>
          <w:type w:val="bbPlcHdr"/>
        </w:types>
        <w:behaviors>
          <w:behavior w:val="content"/>
        </w:behaviors>
        <w:description w:val=""/>
        <w:guid w:val="{FEE9F817-87C7-4B54-88BB-13F344830523}"/>
      </w:docPartPr>
      <w:docPartBody>
        <w:p w14:paraId="1AAB0514">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C5"/>
    <w:rsid w:val="000107FE"/>
    <w:rsid w:val="00034119"/>
    <w:rsid w:val="00046A2E"/>
    <w:rsid w:val="00081F24"/>
    <w:rsid w:val="000A5A9A"/>
    <w:rsid w:val="000F6B55"/>
    <w:rsid w:val="00131CDD"/>
    <w:rsid w:val="00175171"/>
    <w:rsid w:val="001B03C3"/>
    <w:rsid w:val="001D7EE7"/>
    <w:rsid w:val="001E7E7C"/>
    <w:rsid w:val="00230337"/>
    <w:rsid w:val="00230E82"/>
    <w:rsid w:val="00240520"/>
    <w:rsid w:val="00315519"/>
    <w:rsid w:val="00452183"/>
    <w:rsid w:val="004A13FE"/>
    <w:rsid w:val="004D0694"/>
    <w:rsid w:val="00586D69"/>
    <w:rsid w:val="005D4F81"/>
    <w:rsid w:val="005E439A"/>
    <w:rsid w:val="005E4B1E"/>
    <w:rsid w:val="005F7F14"/>
    <w:rsid w:val="006952AE"/>
    <w:rsid w:val="00717C79"/>
    <w:rsid w:val="008026C0"/>
    <w:rsid w:val="00855604"/>
    <w:rsid w:val="00942A32"/>
    <w:rsid w:val="00955B7B"/>
    <w:rsid w:val="009A0119"/>
    <w:rsid w:val="009C5FA4"/>
    <w:rsid w:val="00A311A7"/>
    <w:rsid w:val="00AA17F1"/>
    <w:rsid w:val="00AC6723"/>
    <w:rsid w:val="00B137D2"/>
    <w:rsid w:val="00B722C5"/>
    <w:rsid w:val="00BB2F8E"/>
    <w:rsid w:val="00BF0A9B"/>
    <w:rsid w:val="00C00E87"/>
    <w:rsid w:val="00C021A4"/>
    <w:rsid w:val="00C775B6"/>
    <w:rsid w:val="00CE6936"/>
    <w:rsid w:val="00E0120A"/>
    <w:rsid w:val="00E93A50"/>
    <w:rsid w:val="00F80613"/>
    <w:rsid w:val="00FE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98EBC31BD92478B9ED0B49AF9BB44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0B0114E111AC4E3DB08F660BB720ECA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20</Pages>
  <Words>4877</Words>
  <Characters>6757</Characters>
  <Lines>72</Lines>
  <Paragraphs>20</Paragraphs>
  <TotalTime>4</TotalTime>
  <ScaleCrop>false</ScaleCrop>
  <LinksUpToDate>false</LinksUpToDate>
  <CharactersWithSpaces>6974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2024-11-28T09:16:00Z</dcterms:created>
  <dc:creator>L HT</dc:creator>
  <cp:lastModifiedBy>陈文昕</cp:lastModifiedBy>
  <cp:lastPrinted>2020-05-12T14:07:00Z</cp:lastPrinted>
  <dcterms:modified xsi:type="dcterms:W3CDTF">2026-01-26T02:31:34Z</dcterms:modified>
  <dc:title>国家标准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2052-12.1.0.24657</vt:lpwstr>
  </property>
  <property fmtid="{D5CDD505-2E9C-101B-9397-08002B2CF9AE}" pid="16" name="ICV">
    <vt:lpwstr>762906C0E0B8495CB648D776686B280F_13</vt:lpwstr>
  </property>
  <property fmtid="{D5CDD505-2E9C-101B-9397-08002B2CF9AE}" pid="17" name="KSOTemplateDocerSaveRecord">
    <vt:lpwstr>eyJoZGlkIjoiN2FlZGZlODdlZTZiODE1YjgxZmQ3YWZhYWVjY2M4ZDgiLCJ1c2VySWQiOiIzMjY1MjczMzIifQ==</vt:lpwstr>
  </property>
</Properties>
</file>